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57F4E" w14:textId="7189F3E3" w:rsidR="005D6621" w:rsidRDefault="0038170E">
      <w:pPr>
        <w:pStyle w:val="RefAgency"/>
        <w:tabs>
          <w:tab w:val="left" w:pos="1277"/>
        </w:tabs>
      </w:pPr>
      <w:r>
        <w:t>30.06.17</w:t>
      </w:r>
    </w:p>
    <w:p w14:paraId="6CE57F4F" w14:textId="77777777" w:rsidR="005D6621" w:rsidRDefault="005D6621">
      <w:pPr>
        <w:pStyle w:val="RefAgency"/>
        <w:tabs>
          <w:tab w:val="left" w:pos="1277"/>
        </w:tabs>
      </w:pPr>
    </w:p>
    <w:p w14:paraId="6CE57F50" w14:textId="77777777" w:rsidR="005D6621" w:rsidRDefault="005D6621">
      <w:pPr>
        <w:pStyle w:val="RefAgency"/>
        <w:tabs>
          <w:tab w:val="left" w:pos="1277"/>
        </w:tabs>
      </w:pPr>
    </w:p>
    <w:p w14:paraId="6CE57F51" w14:textId="77777777" w:rsidR="005D6621" w:rsidRPr="00472B76" w:rsidRDefault="005D6621">
      <w:pPr>
        <w:pStyle w:val="DoctitleAgency"/>
        <w:rPr>
          <w:i/>
        </w:rPr>
      </w:pPr>
      <w:bookmarkStart w:id="0" w:name="Head"/>
      <w:bookmarkEnd w:id="0"/>
      <w:r>
        <w:t xml:space="preserve">Submission of comments on </w:t>
      </w:r>
      <w:r w:rsidR="00223379">
        <w:rPr>
          <w:i/>
        </w:rPr>
        <w:t xml:space="preserve">Concept paper </w:t>
      </w:r>
      <w:r w:rsidR="00D853D0">
        <w:rPr>
          <w:i/>
        </w:rPr>
        <w:t>on a revision of the guideline on the investigation of drug interactions – EMEA/CHMP/694687/2016</w:t>
      </w:r>
    </w:p>
    <w:p w14:paraId="6CE57F52" w14:textId="77777777" w:rsidR="005D6621" w:rsidRDefault="005D6621">
      <w:pPr>
        <w:pStyle w:val="DocsubtitleAgency"/>
      </w:pPr>
    </w:p>
    <w:p w14:paraId="6CE57F53" w14:textId="77777777" w:rsidR="005D6621" w:rsidRDefault="005D6621">
      <w:pPr>
        <w:pStyle w:val="No-TOCheadingAgency"/>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5D6621" w14:paraId="6CE57F55" w14:textId="77777777">
        <w:trPr>
          <w:tblHeader/>
        </w:trPr>
        <w:tc>
          <w:tcPr>
            <w:tcW w:w="5000" w:type="pct"/>
            <w:tcBorders>
              <w:top w:val="nil"/>
              <w:left w:val="nil"/>
              <w:bottom w:val="nil"/>
              <w:right w:val="nil"/>
            </w:tcBorders>
            <w:shd w:val="clear" w:color="auto" w:fill="003399"/>
          </w:tcPr>
          <w:p w14:paraId="6CE57F54" w14:textId="77777777" w:rsidR="005D6621" w:rsidRDefault="005D6621">
            <w:pPr>
              <w:pStyle w:val="TableheadingrowsAgency"/>
              <w:rPr>
                <w:b w:val="0"/>
              </w:rPr>
            </w:pPr>
            <w:r>
              <w:rPr>
                <w:b w:val="0"/>
              </w:rPr>
              <w:t>Name of organisation or individual</w:t>
            </w:r>
          </w:p>
        </w:tc>
      </w:tr>
      <w:tr w:rsidR="005D6621" w:rsidRPr="00CC3452" w14:paraId="6CE57F57" w14:textId="77777777">
        <w:tc>
          <w:tcPr>
            <w:tcW w:w="5000" w:type="pct"/>
            <w:shd w:val="clear" w:color="auto" w:fill="E1E3F2"/>
          </w:tcPr>
          <w:p w14:paraId="6CE57F56" w14:textId="03442FA9" w:rsidR="005D6621" w:rsidRPr="00CC3452" w:rsidRDefault="00095521" w:rsidP="00472B76">
            <w:pPr>
              <w:pStyle w:val="TabletextrowsAgency"/>
              <w:rPr>
                <w:lang w:val="es-ES_tradnl"/>
              </w:rPr>
            </w:pPr>
            <w:r>
              <w:rPr>
                <w:lang w:val="es-ES_tradnl"/>
              </w:rPr>
              <w:t>EFPIA</w:t>
            </w:r>
            <w:r w:rsidR="0038170E">
              <w:rPr>
                <w:lang w:val="es-ES_tradnl"/>
              </w:rPr>
              <w:t xml:space="preserve"> – Sandra </w:t>
            </w:r>
            <w:proofErr w:type="spellStart"/>
            <w:r w:rsidR="0038170E">
              <w:rPr>
                <w:lang w:val="es-ES_tradnl"/>
              </w:rPr>
              <w:t>Rodrigues</w:t>
            </w:r>
            <w:proofErr w:type="spellEnd"/>
            <w:r w:rsidR="0038170E">
              <w:rPr>
                <w:lang w:val="es-ES_tradnl"/>
              </w:rPr>
              <w:t xml:space="preserve"> (sandra.rodrigues@efpia.eu)</w:t>
            </w:r>
          </w:p>
        </w:tc>
      </w:tr>
    </w:tbl>
    <w:p w14:paraId="6CE57F58" w14:textId="77777777" w:rsidR="005D6621" w:rsidRPr="00CC3452" w:rsidRDefault="005D6621">
      <w:pPr>
        <w:pStyle w:val="BodytextAgency"/>
        <w:rPr>
          <w:lang w:val="es-ES_tradnl"/>
        </w:rPr>
      </w:pPr>
    </w:p>
    <w:p w14:paraId="6CE57F59" w14:textId="77777777" w:rsidR="005D6621" w:rsidRDefault="005D6621">
      <w:pPr>
        <w:pStyle w:val="BodytextAgency"/>
        <w:rPr>
          <w:i/>
        </w:rPr>
      </w:pPr>
      <w:r>
        <w:rPr>
          <w:i/>
        </w:rPr>
        <w:t>Please note that these comments and the identity of the sender will be published unless a specific justified objection is received.</w:t>
      </w:r>
    </w:p>
    <w:p w14:paraId="6CE57F5A" w14:textId="77777777" w:rsidR="005D6621" w:rsidRDefault="005D6621">
      <w:pPr>
        <w:pStyle w:val="BodytextAgency"/>
        <w:rPr>
          <w:i/>
        </w:rPr>
      </w:pPr>
      <w:r>
        <w:rPr>
          <w:i/>
        </w:rPr>
        <w:t>When completed, this form should be sent to the European Medicines Agency electronically, in Word format (not PDF).</w:t>
      </w:r>
    </w:p>
    <w:p w14:paraId="6CE57F5B" w14:textId="77777777" w:rsidR="005D6621" w:rsidRDefault="005D6621">
      <w:pPr>
        <w:pStyle w:val="BodytextAgency"/>
      </w:pPr>
    </w:p>
    <w:p w14:paraId="6CE57F5C" w14:textId="77777777" w:rsidR="005D6621" w:rsidRDefault="005D6621">
      <w:pPr>
        <w:pStyle w:val="BodytextAgency"/>
      </w:pPr>
    </w:p>
    <w:p w14:paraId="6CE57F5D" w14:textId="77777777" w:rsidR="005D6621" w:rsidRDefault="005D6621">
      <w:pPr>
        <w:pStyle w:val="BodytextAgency"/>
        <w:sectPr w:rsidR="005D6621">
          <w:footerReference w:type="default" r:id="rId12"/>
          <w:headerReference w:type="first" r:id="rId13"/>
          <w:footerReference w:type="first" r:id="rId14"/>
          <w:pgSz w:w="11907" w:h="16839" w:code="9"/>
          <w:pgMar w:top="1418" w:right="1247" w:bottom="1418" w:left="1247" w:header="284" w:footer="680" w:gutter="0"/>
          <w:cols w:space="720"/>
          <w:titlePg/>
          <w:docGrid w:linePitch="326"/>
        </w:sectPr>
      </w:pPr>
      <w:bookmarkStart w:id="1" w:name="_GoBack"/>
      <w:bookmarkEnd w:id="1"/>
    </w:p>
    <w:p w14:paraId="6CE57F5E" w14:textId="77777777" w:rsidR="005D6621" w:rsidRDefault="005D6621">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8"/>
        <w:gridCol w:w="5438"/>
        <w:gridCol w:w="6840"/>
      </w:tblGrid>
      <w:tr w:rsidR="005D6621" w14:paraId="6CE57F64" w14:textId="77777777">
        <w:trPr>
          <w:tblHeader/>
        </w:trPr>
        <w:tc>
          <w:tcPr>
            <w:tcW w:w="848" w:type="pct"/>
            <w:tcBorders>
              <w:top w:val="nil"/>
              <w:left w:val="nil"/>
              <w:bottom w:val="nil"/>
              <w:right w:val="nil"/>
            </w:tcBorders>
            <w:shd w:val="clear" w:color="auto" w:fill="003399"/>
          </w:tcPr>
          <w:p w14:paraId="6CE57F5F" w14:textId="77777777" w:rsidR="005D6621" w:rsidRDefault="005D6621">
            <w:pPr>
              <w:pStyle w:val="TableheadingrowsAgency"/>
              <w:rPr>
                <w:b w:val="0"/>
                <w:bCs/>
              </w:rPr>
            </w:pPr>
            <w:r>
              <w:rPr>
                <w:b w:val="0"/>
                <w:bCs/>
              </w:rPr>
              <w:t>Stakeholder number</w:t>
            </w:r>
          </w:p>
          <w:p w14:paraId="6CE57F60" w14:textId="77777777" w:rsidR="005D6621" w:rsidRDefault="005D6621">
            <w:pPr>
              <w:pStyle w:val="TableheadingrowsAgency"/>
              <w:rPr>
                <w:b w:val="0"/>
                <w:bCs/>
                <w:i/>
                <w:color w:val="339966"/>
              </w:rPr>
            </w:pPr>
            <w:r>
              <w:rPr>
                <w:i/>
                <w:color w:val="339966"/>
              </w:rPr>
              <w:t>(To be completed by the Agency)</w:t>
            </w:r>
          </w:p>
        </w:tc>
        <w:tc>
          <w:tcPr>
            <w:tcW w:w="1839" w:type="pct"/>
            <w:tcBorders>
              <w:top w:val="nil"/>
              <w:left w:val="nil"/>
              <w:bottom w:val="nil"/>
              <w:right w:val="nil"/>
            </w:tcBorders>
            <w:shd w:val="clear" w:color="auto" w:fill="003399"/>
          </w:tcPr>
          <w:p w14:paraId="6CE57F61" w14:textId="77777777" w:rsidR="005D6621" w:rsidRDefault="005D6621">
            <w:pPr>
              <w:pStyle w:val="TableheadingrowsAgency"/>
              <w:rPr>
                <w:b w:val="0"/>
                <w:bCs/>
              </w:rPr>
            </w:pPr>
            <w:r>
              <w:rPr>
                <w:b w:val="0"/>
                <w:bCs/>
              </w:rPr>
              <w:t>General comment (if any)</w:t>
            </w:r>
          </w:p>
        </w:tc>
        <w:tc>
          <w:tcPr>
            <w:tcW w:w="2313" w:type="pct"/>
            <w:tcBorders>
              <w:top w:val="nil"/>
              <w:left w:val="nil"/>
              <w:bottom w:val="nil"/>
              <w:right w:val="nil"/>
            </w:tcBorders>
            <w:shd w:val="clear" w:color="auto" w:fill="003399"/>
          </w:tcPr>
          <w:p w14:paraId="6CE57F62" w14:textId="77777777" w:rsidR="005D6621" w:rsidRDefault="005D6621">
            <w:pPr>
              <w:pStyle w:val="TableheadingrowsAgency"/>
              <w:rPr>
                <w:b w:val="0"/>
                <w:bCs/>
              </w:rPr>
            </w:pPr>
            <w:r>
              <w:rPr>
                <w:b w:val="0"/>
                <w:bCs/>
              </w:rPr>
              <w:t>Outcome (if applicable)</w:t>
            </w:r>
          </w:p>
          <w:p w14:paraId="6CE57F63" w14:textId="77777777" w:rsidR="005D6621" w:rsidRDefault="005D6621">
            <w:pPr>
              <w:pStyle w:val="TableheadingrowsAgency"/>
              <w:rPr>
                <w:b w:val="0"/>
                <w:bCs/>
                <w:i/>
                <w:color w:val="339966"/>
              </w:rPr>
            </w:pPr>
            <w:r>
              <w:rPr>
                <w:i/>
                <w:color w:val="339966"/>
              </w:rPr>
              <w:t>(To be completed by the Agency)</w:t>
            </w:r>
          </w:p>
        </w:tc>
      </w:tr>
      <w:tr w:rsidR="00AF125E" w14:paraId="0BEF756A" w14:textId="77777777">
        <w:tc>
          <w:tcPr>
            <w:tcW w:w="848" w:type="pct"/>
            <w:shd w:val="clear" w:color="auto" w:fill="E1E3F2"/>
          </w:tcPr>
          <w:p w14:paraId="1A90E6BF" w14:textId="4184A242" w:rsidR="00AF125E" w:rsidRPr="007451C4" w:rsidRDefault="00AF125E">
            <w:pPr>
              <w:pStyle w:val="TabletextrowsAgency"/>
              <w:rPr>
                <w:b/>
                <w:highlight w:val="green"/>
              </w:rPr>
            </w:pPr>
          </w:p>
        </w:tc>
        <w:tc>
          <w:tcPr>
            <w:tcW w:w="1839" w:type="pct"/>
            <w:shd w:val="clear" w:color="auto" w:fill="E1E3F2"/>
          </w:tcPr>
          <w:p w14:paraId="7D0F21EB" w14:textId="77777777" w:rsidR="00AF125E" w:rsidRDefault="00AF125E" w:rsidP="00BE7003">
            <w:pPr>
              <w:pStyle w:val="TabletextrowsAgency"/>
              <w:spacing w:line="240" w:lineRule="auto"/>
            </w:pPr>
            <w:r>
              <w:t xml:space="preserve">In consideration of the expansion of the scientific knowledge and experience since the implementation of the Guideline on the Investigation of Drug Interactions (2012), the highlighted scope of the concept paper is appropriate.  </w:t>
            </w:r>
          </w:p>
          <w:p w14:paraId="48952EA7" w14:textId="77777777" w:rsidR="00AF125E" w:rsidRDefault="00AF125E" w:rsidP="00BE7003">
            <w:pPr>
              <w:pStyle w:val="TabletextrowsAgency"/>
              <w:spacing w:line="240" w:lineRule="auto"/>
            </w:pPr>
          </w:p>
          <w:p w14:paraId="43F0E655" w14:textId="0B571454" w:rsidR="00AF125E" w:rsidRDefault="00AF125E" w:rsidP="00182318">
            <w:pPr>
              <w:pStyle w:val="TabletextrowsAgency"/>
              <w:spacing w:line="240" w:lineRule="auto"/>
            </w:pPr>
            <w:r>
              <w:t xml:space="preserve">Any efforts to harmonize regional expectations (e.g. EMA, FDA and PMDA), as far as possible, would be supported.  </w:t>
            </w:r>
          </w:p>
        </w:tc>
        <w:tc>
          <w:tcPr>
            <w:tcW w:w="2313" w:type="pct"/>
            <w:shd w:val="clear" w:color="auto" w:fill="E1E3F2"/>
          </w:tcPr>
          <w:p w14:paraId="0BC12685" w14:textId="77777777" w:rsidR="00AF125E" w:rsidRDefault="00AF125E">
            <w:pPr>
              <w:pStyle w:val="TabletextrowsAgency"/>
            </w:pPr>
          </w:p>
        </w:tc>
      </w:tr>
      <w:tr w:rsidR="002F6625" w14:paraId="31FED7B3" w14:textId="77777777">
        <w:tc>
          <w:tcPr>
            <w:tcW w:w="848" w:type="pct"/>
            <w:shd w:val="clear" w:color="auto" w:fill="E1E3F2"/>
          </w:tcPr>
          <w:p w14:paraId="2292D8BA" w14:textId="77777777" w:rsidR="002F6625" w:rsidRPr="007451C4" w:rsidRDefault="002F6625">
            <w:pPr>
              <w:pStyle w:val="TabletextrowsAgency"/>
              <w:rPr>
                <w:b/>
                <w:highlight w:val="green"/>
              </w:rPr>
            </w:pPr>
          </w:p>
        </w:tc>
        <w:tc>
          <w:tcPr>
            <w:tcW w:w="1839" w:type="pct"/>
            <w:shd w:val="clear" w:color="auto" w:fill="E1E3F2"/>
          </w:tcPr>
          <w:p w14:paraId="76910AD1" w14:textId="5942F313" w:rsidR="002F6625" w:rsidRDefault="002F6625" w:rsidP="00924E4B">
            <w:pPr>
              <w:pStyle w:val="ListParagraph"/>
              <w:spacing w:line="240" w:lineRule="auto"/>
              <w:ind w:left="0"/>
            </w:pPr>
            <w:r>
              <w:t>Regarding model systems required for MDR1 inhibition</w:t>
            </w:r>
            <w:r w:rsidR="000A7FD5">
              <w:t>. I</w:t>
            </w:r>
            <w:r>
              <w:t>s it necessary to use two different transvectorial transport cell model systems or do we now have developed ou</w:t>
            </w:r>
            <w:r w:rsidR="000A7FD5">
              <w:t>r understanding to use only one?</w:t>
            </w:r>
            <w:r>
              <w:t xml:space="preserve"> Clarification in the draft guideline would be welcome.</w:t>
            </w:r>
          </w:p>
        </w:tc>
        <w:tc>
          <w:tcPr>
            <w:tcW w:w="2313" w:type="pct"/>
            <w:shd w:val="clear" w:color="auto" w:fill="E1E3F2"/>
          </w:tcPr>
          <w:p w14:paraId="3558FD6C" w14:textId="77777777" w:rsidR="002F6625" w:rsidRDefault="002F6625">
            <w:pPr>
              <w:pStyle w:val="TabletextrowsAgency"/>
            </w:pPr>
          </w:p>
        </w:tc>
      </w:tr>
    </w:tbl>
    <w:p w14:paraId="6CE57F71" w14:textId="77777777" w:rsidR="005D6621" w:rsidRDefault="005D6621">
      <w:pPr>
        <w:pStyle w:val="BodytextAgency"/>
      </w:pPr>
    </w:p>
    <w:p w14:paraId="6CE57F72" w14:textId="77777777" w:rsidR="005D6621" w:rsidRDefault="005D6621">
      <w:pPr>
        <w:pStyle w:val="Heading1Agency"/>
        <w:pageBreakBefore/>
      </w:pPr>
      <w:r>
        <w:lastRenderedPageBreak/>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236"/>
        <w:gridCol w:w="2073"/>
        <w:gridCol w:w="5932"/>
        <w:gridCol w:w="4545"/>
      </w:tblGrid>
      <w:tr w:rsidR="005D6621" w14:paraId="6CE57F7B" w14:textId="77777777" w:rsidTr="00CB22FF">
        <w:trPr>
          <w:trHeight w:val="1152"/>
          <w:tblHeader/>
        </w:trPr>
        <w:tc>
          <w:tcPr>
            <w:tcW w:w="756" w:type="pct"/>
            <w:tcBorders>
              <w:top w:val="nil"/>
              <w:left w:val="nil"/>
              <w:bottom w:val="nil"/>
              <w:right w:val="nil"/>
            </w:tcBorders>
            <w:shd w:val="clear" w:color="auto" w:fill="003399"/>
          </w:tcPr>
          <w:p w14:paraId="6CE57F73" w14:textId="77777777" w:rsidR="005D6621" w:rsidRDefault="005D6621">
            <w:pPr>
              <w:pStyle w:val="TableheadingrowsAgency"/>
              <w:rPr>
                <w:b w:val="0"/>
              </w:rPr>
            </w:pPr>
            <w:r>
              <w:rPr>
                <w:b w:val="0"/>
              </w:rPr>
              <w:t>Line number(s) of the relevant text</w:t>
            </w:r>
          </w:p>
          <w:p w14:paraId="6CE57F74" w14:textId="77777777" w:rsidR="005D6621" w:rsidRDefault="005D6621">
            <w:pPr>
              <w:pStyle w:val="TableheadingrowsAgency"/>
              <w:rPr>
                <w:b w:val="0"/>
                <w:i/>
                <w:color w:val="339966"/>
              </w:rPr>
            </w:pPr>
            <w:r>
              <w:rPr>
                <w:i/>
                <w:color w:val="339966"/>
              </w:rPr>
              <w:t>(e.g. Lines 20-23)</w:t>
            </w:r>
          </w:p>
        </w:tc>
        <w:tc>
          <w:tcPr>
            <w:tcW w:w="701" w:type="pct"/>
            <w:tcBorders>
              <w:top w:val="nil"/>
              <w:left w:val="nil"/>
              <w:bottom w:val="nil"/>
              <w:right w:val="nil"/>
            </w:tcBorders>
            <w:shd w:val="clear" w:color="auto" w:fill="003399"/>
          </w:tcPr>
          <w:p w14:paraId="6CE57F75" w14:textId="77777777" w:rsidR="005D6621" w:rsidRDefault="005D6621">
            <w:pPr>
              <w:pStyle w:val="TableheadingrowsAgency"/>
              <w:rPr>
                <w:b w:val="0"/>
              </w:rPr>
            </w:pPr>
            <w:r>
              <w:rPr>
                <w:b w:val="0"/>
              </w:rPr>
              <w:t>Stakeholder number</w:t>
            </w:r>
          </w:p>
          <w:p w14:paraId="6CE57F76" w14:textId="77777777" w:rsidR="005D6621" w:rsidRDefault="005D6621">
            <w:pPr>
              <w:pStyle w:val="TableheadingrowsAgency"/>
              <w:rPr>
                <w:b w:val="0"/>
              </w:rPr>
            </w:pPr>
            <w:r>
              <w:rPr>
                <w:i/>
                <w:color w:val="339966"/>
              </w:rPr>
              <w:t>(To be completed by the Agency)</w:t>
            </w:r>
          </w:p>
        </w:tc>
        <w:tc>
          <w:tcPr>
            <w:tcW w:w="2006" w:type="pct"/>
            <w:tcBorders>
              <w:top w:val="nil"/>
              <w:left w:val="nil"/>
              <w:bottom w:val="nil"/>
              <w:right w:val="nil"/>
            </w:tcBorders>
            <w:shd w:val="clear" w:color="auto" w:fill="003399"/>
          </w:tcPr>
          <w:p w14:paraId="6CE57F77" w14:textId="77777777" w:rsidR="005D6621" w:rsidRDefault="005D6621">
            <w:pPr>
              <w:pStyle w:val="TableheadingrowsAgency"/>
              <w:rPr>
                <w:b w:val="0"/>
              </w:rPr>
            </w:pPr>
            <w:r>
              <w:rPr>
                <w:b w:val="0"/>
              </w:rPr>
              <w:t>Comment and rationale; proposed changes</w:t>
            </w:r>
          </w:p>
          <w:p w14:paraId="6CE57F78" w14:textId="77777777" w:rsidR="005D6621" w:rsidRDefault="005D6621">
            <w:pPr>
              <w:pStyle w:val="TableheadingrowsAgency"/>
              <w:rPr>
                <w:b w:val="0"/>
                <w:i/>
                <w:color w:val="339966"/>
              </w:rPr>
            </w:pPr>
            <w:r>
              <w:rPr>
                <w:i/>
                <w:color w:val="339966"/>
              </w:rPr>
              <w:t>(If changes to the wording are suggested, they should be highlighted using 'track changes')</w:t>
            </w:r>
          </w:p>
        </w:tc>
        <w:tc>
          <w:tcPr>
            <w:tcW w:w="1537" w:type="pct"/>
            <w:tcBorders>
              <w:top w:val="nil"/>
              <w:left w:val="nil"/>
              <w:bottom w:val="nil"/>
              <w:right w:val="nil"/>
            </w:tcBorders>
            <w:shd w:val="clear" w:color="auto" w:fill="003399"/>
          </w:tcPr>
          <w:p w14:paraId="6CE57F79" w14:textId="77777777" w:rsidR="005D6621" w:rsidRDefault="005D6621">
            <w:pPr>
              <w:pStyle w:val="TableheadingrowsAgency"/>
              <w:rPr>
                <w:b w:val="0"/>
              </w:rPr>
            </w:pPr>
            <w:r>
              <w:rPr>
                <w:b w:val="0"/>
              </w:rPr>
              <w:t>Outcome</w:t>
            </w:r>
          </w:p>
          <w:p w14:paraId="6CE57F7A" w14:textId="77777777" w:rsidR="005D6621" w:rsidRDefault="005D6621">
            <w:pPr>
              <w:pStyle w:val="TableheadingrowsAgency"/>
              <w:rPr>
                <w:b w:val="0"/>
              </w:rPr>
            </w:pPr>
            <w:r>
              <w:rPr>
                <w:i/>
                <w:color w:val="339966"/>
              </w:rPr>
              <w:t>(To be completed by the Agency)</w:t>
            </w:r>
          </w:p>
        </w:tc>
      </w:tr>
      <w:tr w:rsidR="005D6621" w14:paraId="6CE57F83" w14:textId="77777777" w:rsidTr="00CB22FF">
        <w:tc>
          <w:tcPr>
            <w:tcW w:w="756" w:type="pct"/>
            <w:shd w:val="clear" w:color="auto" w:fill="E1E3F2"/>
          </w:tcPr>
          <w:p w14:paraId="1196C9E0" w14:textId="0B093FCD" w:rsidR="007340ED" w:rsidRPr="008E4932" w:rsidRDefault="007340ED" w:rsidP="00DE61C8">
            <w:pPr>
              <w:pStyle w:val="TabletextrowsAgency"/>
              <w:spacing w:line="240" w:lineRule="auto"/>
            </w:pPr>
            <w:r w:rsidRPr="008E4932">
              <w:t>Line 2</w:t>
            </w:r>
            <w:r w:rsidR="00394F5F" w:rsidRPr="008E4932">
              <w:t>4</w:t>
            </w:r>
          </w:p>
          <w:p w14:paraId="2240EE90" w14:textId="2A7BBB4F" w:rsidR="00EE1E59" w:rsidRPr="008E4932" w:rsidRDefault="007340ED" w:rsidP="00DE61C8">
            <w:pPr>
              <w:pStyle w:val="TabletextrowsAgency"/>
              <w:spacing w:line="240" w:lineRule="auto"/>
            </w:pPr>
            <w:r w:rsidRPr="008E4932">
              <w:t>(</w:t>
            </w:r>
            <w:r w:rsidR="00EE1E59" w:rsidRPr="008E4932">
              <w:t>Inhibition and induction of enzymes in the intestine: specifying cut</w:t>
            </w:r>
            <w:r w:rsidR="005F2C56" w:rsidRPr="008E4932">
              <w:t xml:space="preserve"> </w:t>
            </w:r>
            <w:r w:rsidR="00EE1E59" w:rsidRPr="008E4932">
              <w:t>offs for poorly soluble drugs)</w:t>
            </w:r>
          </w:p>
          <w:p w14:paraId="6CE57F7C" w14:textId="4AB3CCF8" w:rsidR="00EE1E59" w:rsidRPr="008E4932" w:rsidRDefault="00EE1E59">
            <w:pPr>
              <w:pStyle w:val="TabletextrowsAgency"/>
            </w:pPr>
          </w:p>
        </w:tc>
        <w:tc>
          <w:tcPr>
            <w:tcW w:w="701" w:type="pct"/>
            <w:shd w:val="clear" w:color="auto" w:fill="E1E3F2"/>
          </w:tcPr>
          <w:p w14:paraId="6CE57F7D" w14:textId="5FD858BA" w:rsidR="005D6621" w:rsidRPr="008E4932" w:rsidRDefault="005D6621">
            <w:pPr>
              <w:pStyle w:val="TabletextrowsAgency"/>
              <w:rPr>
                <w:b/>
              </w:rPr>
            </w:pPr>
          </w:p>
        </w:tc>
        <w:tc>
          <w:tcPr>
            <w:tcW w:w="2006" w:type="pct"/>
            <w:shd w:val="clear" w:color="auto" w:fill="E1E3F2"/>
          </w:tcPr>
          <w:p w14:paraId="43C45A38" w14:textId="69BEBE99" w:rsidR="00361F32" w:rsidRPr="008E4932" w:rsidRDefault="005D6621" w:rsidP="00312054">
            <w:pPr>
              <w:pStyle w:val="TabletextrowsAgency"/>
              <w:spacing w:line="240" w:lineRule="auto"/>
            </w:pPr>
            <w:r w:rsidRPr="008E4932">
              <w:rPr>
                <w:b/>
              </w:rPr>
              <w:t>Comment:</w:t>
            </w:r>
            <w:r w:rsidR="000C067C" w:rsidRPr="008E4932">
              <w:rPr>
                <w:b/>
              </w:rPr>
              <w:t xml:space="preserve"> </w:t>
            </w:r>
            <w:r w:rsidR="007340ED" w:rsidRPr="008E4932">
              <w:t>To assess the estimated gut concentration w</w:t>
            </w:r>
            <w:r w:rsidR="00C7762B" w:rsidRPr="008E4932">
              <w:t xml:space="preserve">e </w:t>
            </w:r>
            <w:r w:rsidR="000C067C" w:rsidRPr="008E4932">
              <w:t>recommend</w:t>
            </w:r>
            <w:r w:rsidR="00361F32" w:rsidRPr="008E4932">
              <w:t xml:space="preserve"> that EMA consider</w:t>
            </w:r>
            <w:r w:rsidR="007340ED" w:rsidRPr="008E4932">
              <w:t xml:space="preserve"> other approaches, beyond ‘</w:t>
            </w:r>
            <w:r w:rsidR="00C7762B" w:rsidRPr="008E4932">
              <w:t>dose/250 mL</w:t>
            </w:r>
            <w:r w:rsidR="007340ED" w:rsidRPr="008E4932">
              <w:t>’</w:t>
            </w:r>
            <w:r w:rsidR="00E8175D" w:rsidRPr="008E4932">
              <w:t>,</w:t>
            </w:r>
            <w:r w:rsidR="007340ED" w:rsidRPr="008E4932">
              <w:t xml:space="preserve"> when the dose is not soluble in 250 mL,</w:t>
            </w:r>
            <w:r w:rsidR="00361F32" w:rsidRPr="008E4932">
              <w:t xml:space="preserve"> </w:t>
            </w:r>
            <w:r w:rsidR="000C067C" w:rsidRPr="008E4932">
              <w:t>(e.g.</w:t>
            </w:r>
            <w:r w:rsidR="00261335" w:rsidRPr="008E4932">
              <w:t xml:space="preserve"> simulated int</w:t>
            </w:r>
            <w:r w:rsidR="002F6625" w:rsidRPr="008E4932">
              <w:t>estinal fluids (fed conditions</w:t>
            </w:r>
            <w:r w:rsidR="00C7762B" w:rsidRPr="008E4932">
              <w:t>)</w:t>
            </w:r>
            <w:r w:rsidR="007340ED" w:rsidRPr="008E4932">
              <w:t xml:space="preserve"> for any calculation</w:t>
            </w:r>
            <w:r w:rsidR="000C067C" w:rsidRPr="008E4932">
              <w:t>.</w:t>
            </w:r>
            <w:r w:rsidR="00C7762B" w:rsidRPr="008E4932">
              <w:t xml:space="preserve"> </w:t>
            </w:r>
          </w:p>
          <w:p w14:paraId="077B9F40" w14:textId="77777777" w:rsidR="002F6625" w:rsidRPr="008E4932" w:rsidRDefault="002F6625" w:rsidP="00312054">
            <w:pPr>
              <w:pStyle w:val="TabletextrowsAgency"/>
              <w:spacing w:line="240" w:lineRule="auto"/>
            </w:pPr>
          </w:p>
          <w:p w14:paraId="09CDE71A" w14:textId="77777777" w:rsidR="002F6625" w:rsidRPr="008E4932" w:rsidRDefault="002F6625" w:rsidP="00312054">
            <w:pPr>
              <w:pStyle w:val="TabletextrowsAgency"/>
              <w:spacing w:line="240" w:lineRule="auto"/>
            </w:pPr>
            <w:r w:rsidRPr="008E4932">
              <w:t xml:space="preserve">This would represent the </w:t>
            </w:r>
            <w:proofErr w:type="gramStart"/>
            <w:r w:rsidRPr="008E4932">
              <w:t>worst case</w:t>
            </w:r>
            <w:proofErr w:type="gramEnd"/>
            <w:r w:rsidRPr="008E4932">
              <w:t xml:space="preserve"> scenario as the intracellular concentration is subject to modulation by the passive permeability of the test inhibitors.</w:t>
            </w:r>
          </w:p>
          <w:p w14:paraId="6CE57F81" w14:textId="6AC44AEF" w:rsidR="002F6625" w:rsidRPr="008E4932" w:rsidRDefault="002F6625" w:rsidP="00312054">
            <w:pPr>
              <w:pStyle w:val="TabletextrowsAgency"/>
              <w:spacing w:line="240" w:lineRule="auto"/>
            </w:pPr>
          </w:p>
        </w:tc>
        <w:tc>
          <w:tcPr>
            <w:tcW w:w="1537" w:type="pct"/>
            <w:shd w:val="clear" w:color="auto" w:fill="E1E3F2"/>
          </w:tcPr>
          <w:p w14:paraId="6CE57F82" w14:textId="77777777" w:rsidR="005D6621" w:rsidRPr="008E4932" w:rsidRDefault="005D6621">
            <w:pPr>
              <w:pStyle w:val="TabletextrowsAgency"/>
            </w:pPr>
          </w:p>
        </w:tc>
      </w:tr>
      <w:tr w:rsidR="005D6621" w14:paraId="6CE57F8B" w14:textId="77777777" w:rsidTr="00CB22FF">
        <w:tc>
          <w:tcPr>
            <w:tcW w:w="756" w:type="pct"/>
            <w:shd w:val="clear" w:color="auto" w:fill="E1E3F2"/>
          </w:tcPr>
          <w:p w14:paraId="189F0748" w14:textId="77777777" w:rsidR="005D6621" w:rsidRPr="008E4932" w:rsidRDefault="000C067C">
            <w:pPr>
              <w:pStyle w:val="TabletextrowsAgency"/>
            </w:pPr>
            <w:r w:rsidRPr="008E4932">
              <w:t>Lines 25-26</w:t>
            </w:r>
          </w:p>
          <w:p w14:paraId="5141933D" w14:textId="77777777" w:rsidR="00EE1E59" w:rsidRPr="008E4932" w:rsidRDefault="00EE1E59" w:rsidP="00EE1E59">
            <w:pPr>
              <w:pStyle w:val="Default"/>
              <w:rPr>
                <w:sz w:val="18"/>
                <w:szCs w:val="18"/>
              </w:rPr>
            </w:pPr>
          </w:p>
          <w:p w14:paraId="78920FF6" w14:textId="18E6E0FE" w:rsidR="00EE1E59" w:rsidRPr="008E4932" w:rsidRDefault="00EE1E59" w:rsidP="00EE1E59">
            <w:pPr>
              <w:pStyle w:val="Default"/>
              <w:rPr>
                <w:sz w:val="18"/>
                <w:szCs w:val="18"/>
              </w:rPr>
            </w:pPr>
            <w:r w:rsidRPr="008E4932">
              <w:rPr>
                <w:sz w:val="18"/>
                <w:szCs w:val="18"/>
              </w:rPr>
              <w:t>(Specific in vitro study design recommendations for in vitro induction studies: number of concentrations to study)</w:t>
            </w:r>
          </w:p>
          <w:p w14:paraId="6CE57F84" w14:textId="77777777" w:rsidR="00EE1E59" w:rsidRPr="008E4932" w:rsidRDefault="00EE1E59">
            <w:pPr>
              <w:pStyle w:val="TabletextrowsAgency"/>
            </w:pPr>
          </w:p>
        </w:tc>
        <w:tc>
          <w:tcPr>
            <w:tcW w:w="701" w:type="pct"/>
            <w:shd w:val="clear" w:color="auto" w:fill="E1E3F2"/>
          </w:tcPr>
          <w:p w14:paraId="6CE57F85" w14:textId="05A00339" w:rsidR="005D6621" w:rsidRPr="008E4932" w:rsidRDefault="005D6621">
            <w:pPr>
              <w:pStyle w:val="TabletextrowsAgency"/>
            </w:pPr>
          </w:p>
        </w:tc>
        <w:tc>
          <w:tcPr>
            <w:tcW w:w="2006" w:type="pct"/>
            <w:shd w:val="clear" w:color="auto" w:fill="E1E3F2"/>
          </w:tcPr>
          <w:p w14:paraId="6CE57F89" w14:textId="0E98A547" w:rsidR="005D6621" w:rsidRPr="008E4932" w:rsidRDefault="005D6621" w:rsidP="00553F78">
            <w:pPr>
              <w:pStyle w:val="TabletextrowsAgency"/>
              <w:spacing w:line="240" w:lineRule="auto"/>
            </w:pPr>
            <w:r w:rsidRPr="008E4932">
              <w:rPr>
                <w:b/>
              </w:rPr>
              <w:t>Comment:</w:t>
            </w:r>
            <w:r w:rsidR="000C067C" w:rsidRPr="008E4932">
              <w:t xml:space="preserve"> The current EMA DDI guideline </w:t>
            </w:r>
            <w:proofErr w:type="gramStart"/>
            <w:r w:rsidR="000C067C" w:rsidRPr="008E4932">
              <w:t>recommends</w:t>
            </w:r>
            <w:proofErr w:type="gramEnd"/>
            <w:r w:rsidR="000C067C" w:rsidRPr="008E4932">
              <w:t xml:space="preserve"> </w:t>
            </w:r>
            <w:r w:rsidR="000C067C" w:rsidRPr="008E4932">
              <w:rPr>
                <w:i/>
              </w:rPr>
              <w:t>“At least three different concentrations should be used.”</w:t>
            </w:r>
            <w:r w:rsidR="000C067C" w:rsidRPr="008E4932">
              <w:t xml:space="preserve">  </w:t>
            </w:r>
            <w:r w:rsidR="00C7762B" w:rsidRPr="008E4932">
              <w:t xml:space="preserve">We agree </w:t>
            </w:r>
            <w:r w:rsidR="000C067C" w:rsidRPr="008E4932">
              <w:t>that three different concent</w:t>
            </w:r>
            <w:r w:rsidR="00C7762B" w:rsidRPr="008E4932">
              <w:t xml:space="preserve">rations would be the </w:t>
            </w:r>
            <w:r w:rsidR="00553F78" w:rsidRPr="008E4932">
              <w:t xml:space="preserve">adequate </w:t>
            </w:r>
            <w:r w:rsidR="00C7762B" w:rsidRPr="008E4932">
              <w:t>to show</w:t>
            </w:r>
            <w:r w:rsidR="000C067C" w:rsidRPr="008E4932">
              <w:t xml:space="preserve"> the absence of induction (&lt;2-fold increase in mRNA and &lt;20% of the response of positive controls)</w:t>
            </w:r>
            <w:r w:rsidR="00553F78" w:rsidRPr="008E4932">
              <w:t>.  If induction parameters are being determined, the</w:t>
            </w:r>
            <w:r w:rsidR="00261335" w:rsidRPr="008E4932">
              <w:t xml:space="preserve"> in vitro induction study should include enough concentrations of the test inducer to adequately describe the concentration-response curve to best obtain the EC50 and Emax values. Obtaining the appropriate concentrations of inducer in the in vitro study would be dependent upon test inducer solubility and cell viability particularly with inducers with high EC50 values.</w:t>
            </w:r>
          </w:p>
        </w:tc>
        <w:tc>
          <w:tcPr>
            <w:tcW w:w="1537" w:type="pct"/>
            <w:shd w:val="clear" w:color="auto" w:fill="E1E3F2"/>
          </w:tcPr>
          <w:p w14:paraId="6CE57F8A" w14:textId="77777777" w:rsidR="005D6621" w:rsidRPr="008E4932" w:rsidRDefault="005D6621">
            <w:pPr>
              <w:pStyle w:val="TabletextrowsAgency"/>
            </w:pPr>
          </w:p>
        </w:tc>
      </w:tr>
      <w:tr w:rsidR="002F6625" w14:paraId="6CE57F93" w14:textId="77777777" w:rsidTr="00CB22FF">
        <w:tc>
          <w:tcPr>
            <w:tcW w:w="756" w:type="pct"/>
            <w:shd w:val="clear" w:color="auto" w:fill="E1E3F2"/>
          </w:tcPr>
          <w:p w14:paraId="6C523A73" w14:textId="77777777" w:rsidR="002F6625" w:rsidRPr="008E4932" w:rsidRDefault="002F6625" w:rsidP="00A20143">
            <w:pPr>
              <w:pStyle w:val="TabletextrowsAgency"/>
            </w:pPr>
            <w:r w:rsidRPr="008E4932">
              <w:t>Line 27</w:t>
            </w:r>
          </w:p>
          <w:p w14:paraId="507F2180" w14:textId="77777777" w:rsidR="002F6625" w:rsidRPr="008E4932" w:rsidRDefault="002F6625" w:rsidP="00EE1E59">
            <w:pPr>
              <w:pStyle w:val="Default"/>
              <w:rPr>
                <w:sz w:val="18"/>
                <w:szCs w:val="18"/>
              </w:rPr>
            </w:pPr>
          </w:p>
          <w:p w14:paraId="43EFB4A7" w14:textId="01ED1065" w:rsidR="002F6625" w:rsidRPr="008E4932" w:rsidRDefault="002F6625" w:rsidP="00EE1E59">
            <w:pPr>
              <w:pStyle w:val="Default"/>
              <w:rPr>
                <w:sz w:val="18"/>
                <w:szCs w:val="18"/>
              </w:rPr>
            </w:pPr>
            <w:r w:rsidRPr="008E4932">
              <w:rPr>
                <w:sz w:val="18"/>
                <w:szCs w:val="18"/>
              </w:rPr>
              <w:t>(Transport as rate limit for elimination: in vivo study design considerations)</w:t>
            </w:r>
          </w:p>
          <w:p w14:paraId="6CE57F8C" w14:textId="2999473D" w:rsidR="002F6625" w:rsidRPr="008E4932" w:rsidRDefault="002F6625" w:rsidP="00A20143">
            <w:pPr>
              <w:pStyle w:val="TabletextrowsAgency"/>
            </w:pPr>
          </w:p>
        </w:tc>
        <w:tc>
          <w:tcPr>
            <w:tcW w:w="701" w:type="pct"/>
            <w:shd w:val="clear" w:color="auto" w:fill="E1E3F2"/>
          </w:tcPr>
          <w:p w14:paraId="6CE57F8D" w14:textId="7B5A83C7" w:rsidR="002F6625" w:rsidRPr="008E4932" w:rsidRDefault="002F6625" w:rsidP="00A20143">
            <w:pPr>
              <w:pStyle w:val="TabletextrowsAgency"/>
            </w:pPr>
          </w:p>
        </w:tc>
        <w:tc>
          <w:tcPr>
            <w:tcW w:w="2006" w:type="pct"/>
            <w:shd w:val="clear" w:color="auto" w:fill="E1E3F2"/>
          </w:tcPr>
          <w:p w14:paraId="1630B47B" w14:textId="6229433C" w:rsidR="002F6625" w:rsidRPr="008E4932" w:rsidRDefault="002F6625" w:rsidP="00F32648">
            <w:pPr>
              <w:rPr>
                <w:rFonts w:eastAsia="Times New Roman"/>
              </w:rPr>
            </w:pPr>
            <w:r w:rsidRPr="008E4932">
              <w:rPr>
                <w:b/>
              </w:rPr>
              <w:t>Comment:</w:t>
            </w:r>
            <w:r w:rsidRPr="008E4932">
              <w:rPr>
                <w:rFonts w:eastAsia="Times New Roman"/>
              </w:rPr>
              <w:t xml:space="preserve">  It is important to understand whether active transport is the </w:t>
            </w:r>
            <w:proofErr w:type="gramStart"/>
            <w:r w:rsidRPr="008E4932">
              <w:rPr>
                <w:rFonts w:eastAsia="Times New Roman"/>
              </w:rPr>
              <w:t>rate limiting</w:t>
            </w:r>
            <w:proofErr w:type="gramEnd"/>
            <w:r w:rsidRPr="008E4932">
              <w:rPr>
                <w:rFonts w:eastAsia="Times New Roman"/>
              </w:rPr>
              <w:t xml:space="preserve"> step for the elimination of drugs, which could be assessed via mechanistic clinical DDI studies.  However, this should be restricted to the transporters, such as OATP1B, which have well established literature data and validated study approaches.  </w:t>
            </w:r>
          </w:p>
          <w:p w14:paraId="65889405" w14:textId="77777777" w:rsidR="002F6625" w:rsidRPr="008E4932" w:rsidRDefault="002F6625" w:rsidP="00F32648">
            <w:pPr>
              <w:rPr>
                <w:rFonts w:eastAsia="Times New Roman"/>
              </w:rPr>
            </w:pPr>
          </w:p>
          <w:p w14:paraId="43A36CA4" w14:textId="77777777" w:rsidR="002F6625" w:rsidRPr="008E4932" w:rsidRDefault="002F6625" w:rsidP="00F32648">
            <w:pPr>
              <w:pStyle w:val="TabletextrowsAgency"/>
              <w:spacing w:line="240" w:lineRule="auto"/>
            </w:pPr>
            <w:r w:rsidRPr="008E4932">
              <w:t xml:space="preserve">If EMA has sufficient internal data, it would be helpful to give some guidance (e.g. a table summarizing examples of specific </w:t>
            </w:r>
            <w:r w:rsidRPr="008E4932">
              <w:lastRenderedPageBreak/>
              <w:t>inhibitors for each transporter to separate liability of transporter-mediated DDI from metabolism).</w:t>
            </w:r>
          </w:p>
          <w:p w14:paraId="6F8BADD6" w14:textId="77777777" w:rsidR="002F6625" w:rsidRPr="008E4932" w:rsidRDefault="002F6625" w:rsidP="00F32648">
            <w:pPr>
              <w:rPr>
                <w:rFonts w:eastAsia="Times New Roman"/>
              </w:rPr>
            </w:pPr>
          </w:p>
          <w:p w14:paraId="0730358E" w14:textId="77777777" w:rsidR="002F6625" w:rsidRPr="008E4932" w:rsidRDefault="002F6625" w:rsidP="002F6625">
            <w:pPr>
              <w:pStyle w:val="TabletextrowsAgency"/>
              <w:spacing w:line="240" w:lineRule="auto"/>
            </w:pPr>
            <w:r w:rsidRPr="008E4932">
              <w:t xml:space="preserve">The importance of clearly presented in vitro data describing the overall DDI potential is acknowledged and critical to the assessment of an application.  However, given differences in criteria across key global agencies, the format of presentation has to be left to the discretion of Applicants. </w:t>
            </w:r>
          </w:p>
          <w:p w14:paraId="5F834EF1" w14:textId="77777777" w:rsidR="002F6625" w:rsidRPr="008E4932" w:rsidRDefault="002F6625" w:rsidP="002F6625">
            <w:pPr>
              <w:pStyle w:val="TabletextrowsAgency"/>
              <w:spacing w:line="240" w:lineRule="auto"/>
            </w:pPr>
          </w:p>
          <w:p w14:paraId="39E9704B" w14:textId="77777777" w:rsidR="002F6625" w:rsidRPr="008E4932" w:rsidRDefault="002F6625" w:rsidP="002F6625">
            <w:pPr>
              <w:pStyle w:val="CommentText"/>
              <w:rPr>
                <w:rFonts w:eastAsia="Times New Roman"/>
                <w:b/>
                <w:sz w:val="18"/>
                <w:szCs w:val="18"/>
              </w:rPr>
            </w:pPr>
            <w:r w:rsidRPr="008E4932">
              <w:rPr>
                <w:rFonts w:eastAsia="Times New Roman"/>
                <w:b/>
                <w:sz w:val="18"/>
                <w:szCs w:val="18"/>
              </w:rPr>
              <w:t xml:space="preserve">Proposed change (if any):  </w:t>
            </w:r>
          </w:p>
          <w:p w14:paraId="6461BD9D" w14:textId="77777777" w:rsidR="002F6625" w:rsidRPr="008E4932" w:rsidRDefault="002F6625" w:rsidP="002F6625">
            <w:pPr>
              <w:pStyle w:val="CommentText"/>
              <w:rPr>
                <w:rFonts w:eastAsia="Times New Roman"/>
                <w:sz w:val="18"/>
                <w:szCs w:val="18"/>
              </w:rPr>
            </w:pPr>
          </w:p>
          <w:p w14:paraId="4B7862E5" w14:textId="4B85BAF2" w:rsidR="002F6625" w:rsidRPr="008E4932" w:rsidRDefault="002F6625" w:rsidP="002F6625">
            <w:pPr>
              <w:pStyle w:val="CommentText"/>
              <w:rPr>
                <w:rFonts w:eastAsia="Times New Roman"/>
                <w:sz w:val="18"/>
                <w:szCs w:val="18"/>
              </w:rPr>
            </w:pPr>
            <w:r w:rsidRPr="008E4932">
              <w:rPr>
                <w:rFonts w:eastAsia="Times New Roman"/>
                <w:sz w:val="18"/>
                <w:szCs w:val="18"/>
              </w:rPr>
              <w:t>Rather than a templated table(s) or other specification(s), guidelines for the data and supporting details expected in support of regulatory filings regarding the in vitro/in vivo evaluation of the DDI potential should be clarified.</w:t>
            </w:r>
            <w:r w:rsidRPr="008E4932">
              <w:rPr>
                <w:sz w:val="18"/>
                <w:szCs w:val="18"/>
              </w:rPr>
              <w:t xml:space="preserve">  </w:t>
            </w:r>
            <w:r w:rsidRPr="008E4932">
              <w:rPr>
                <w:rFonts w:eastAsia="Times New Roman"/>
                <w:sz w:val="18"/>
                <w:szCs w:val="18"/>
              </w:rPr>
              <w:t>An example of a table(s), perhaps separately for in vitro and in vivo data, may be reasonable for general guidance; however, this tabulation should not be mandated with Applicants given the flexibility in the method of presentation.</w:t>
            </w:r>
          </w:p>
          <w:p w14:paraId="77F6C8BE" w14:textId="77777777" w:rsidR="002F6625" w:rsidRPr="008E4932" w:rsidRDefault="002F6625" w:rsidP="00F32648">
            <w:pPr>
              <w:pStyle w:val="TabletextrowsAgency"/>
              <w:spacing w:line="240" w:lineRule="auto"/>
            </w:pPr>
          </w:p>
          <w:p w14:paraId="6E9FF882" w14:textId="6476C1E2" w:rsidR="002F6625" w:rsidRPr="008E4932" w:rsidRDefault="002F6625" w:rsidP="00F32648">
            <w:pPr>
              <w:pStyle w:val="TabletextrowsAgency"/>
              <w:spacing w:line="240" w:lineRule="auto"/>
            </w:pPr>
            <w:r w:rsidRPr="008E4932">
              <w:t xml:space="preserve">Clinical </w:t>
            </w:r>
            <w:proofErr w:type="spellStart"/>
            <w:r w:rsidRPr="008E4932">
              <w:t>microdosing</w:t>
            </w:r>
            <w:proofErr w:type="spellEnd"/>
            <w:r w:rsidRPr="008E4932">
              <w:t xml:space="preserve"> studies (</w:t>
            </w:r>
            <w:proofErr w:type="spellStart"/>
            <w:r w:rsidRPr="008E4932">
              <w:t>Prueksaritanont</w:t>
            </w:r>
            <w:proofErr w:type="spellEnd"/>
            <w:r w:rsidRPr="008E4932">
              <w:t xml:space="preserve"> et al </w:t>
            </w:r>
            <w:proofErr w:type="spellStart"/>
            <w:r w:rsidRPr="008E4932">
              <w:t>Clin</w:t>
            </w:r>
            <w:proofErr w:type="spellEnd"/>
            <w:r w:rsidRPr="008E4932">
              <w:t xml:space="preserve"> </w:t>
            </w:r>
            <w:proofErr w:type="spellStart"/>
            <w:r w:rsidRPr="008E4932">
              <w:t>Pharmacol</w:t>
            </w:r>
            <w:proofErr w:type="spellEnd"/>
            <w:r w:rsidRPr="008E4932">
              <w:t xml:space="preserve"> </w:t>
            </w:r>
            <w:proofErr w:type="spellStart"/>
            <w:r w:rsidRPr="008E4932">
              <w:t>Ther</w:t>
            </w:r>
            <w:proofErr w:type="spellEnd"/>
            <w:r w:rsidRPr="008E4932">
              <w:t>. 2017,101(4)</w:t>
            </w:r>
            <w:proofErr w:type="gramStart"/>
            <w:r w:rsidRPr="008E4932">
              <w:t>:519</w:t>
            </w:r>
            <w:proofErr w:type="gramEnd"/>
            <w:r w:rsidRPr="008E4932">
              <w:t xml:space="preserve">-530; Maeda et al. </w:t>
            </w:r>
            <w:proofErr w:type="spellStart"/>
            <w:r w:rsidRPr="008E4932">
              <w:t>Clin</w:t>
            </w:r>
            <w:proofErr w:type="spellEnd"/>
            <w:r w:rsidRPr="008E4932">
              <w:t xml:space="preserve"> </w:t>
            </w:r>
            <w:proofErr w:type="spellStart"/>
            <w:r w:rsidRPr="008E4932">
              <w:t>Pharmacol</w:t>
            </w:r>
            <w:proofErr w:type="spellEnd"/>
            <w:r w:rsidRPr="008E4932">
              <w:t xml:space="preserve"> </w:t>
            </w:r>
            <w:proofErr w:type="spellStart"/>
            <w:r w:rsidRPr="008E4932">
              <w:t>Ther</w:t>
            </w:r>
            <w:proofErr w:type="spellEnd"/>
            <w:r w:rsidRPr="008E4932">
              <w:t xml:space="preserve">. 2011, 90(4):575-81) can be applied as a mechanistic approach to identify the rate-limiting step of hepatic uptake vs. metabolism.  In such a case, if PK data of clinical probes in </w:t>
            </w:r>
            <w:proofErr w:type="spellStart"/>
            <w:r w:rsidRPr="008E4932">
              <w:t>microdose</w:t>
            </w:r>
            <w:proofErr w:type="spellEnd"/>
            <w:r w:rsidRPr="008E4932">
              <w:t xml:space="preserve"> </w:t>
            </w:r>
            <w:proofErr w:type="gramStart"/>
            <w:r w:rsidRPr="008E4932">
              <w:t>have been validated to be extrapolated</w:t>
            </w:r>
            <w:proofErr w:type="gramEnd"/>
            <w:r w:rsidRPr="008E4932">
              <w:t xml:space="preserve"> to the therapeutic dose, dedicated clinical DDI studies with individual probes at therapeutic dose may not be needed and would benefit from clarification in revisions to the current 2012 Guideline.</w:t>
            </w:r>
          </w:p>
          <w:p w14:paraId="6CE57F91" w14:textId="652558C4" w:rsidR="002F6625" w:rsidRPr="008E4932" w:rsidRDefault="002F6625" w:rsidP="002F6625">
            <w:pPr>
              <w:pStyle w:val="TabletextrowsAgency"/>
              <w:spacing w:line="240" w:lineRule="auto"/>
            </w:pPr>
          </w:p>
        </w:tc>
        <w:tc>
          <w:tcPr>
            <w:tcW w:w="1537" w:type="pct"/>
            <w:shd w:val="clear" w:color="auto" w:fill="E1E3F2"/>
          </w:tcPr>
          <w:p w14:paraId="6CE57F92" w14:textId="77777777" w:rsidR="002F6625" w:rsidRPr="008E4932" w:rsidRDefault="002F6625" w:rsidP="00A20143">
            <w:pPr>
              <w:pStyle w:val="TabletextrowsAgency"/>
            </w:pPr>
          </w:p>
        </w:tc>
      </w:tr>
      <w:tr w:rsidR="002F6625" w14:paraId="6CE57F9B" w14:textId="77777777" w:rsidTr="00CB22FF">
        <w:tc>
          <w:tcPr>
            <w:tcW w:w="756" w:type="pct"/>
            <w:shd w:val="clear" w:color="auto" w:fill="E1E3F2"/>
          </w:tcPr>
          <w:p w14:paraId="0FB7C029" w14:textId="77777777" w:rsidR="002F6625" w:rsidRPr="008E4932" w:rsidRDefault="002F6625" w:rsidP="00DE61C8">
            <w:pPr>
              <w:pStyle w:val="TabletextrowsAgency"/>
              <w:spacing w:line="240" w:lineRule="auto"/>
            </w:pPr>
            <w:r w:rsidRPr="008E4932">
              <w:lastRenderedPageBreak/>
              <w:t>Line 28</w:t>
            </w:r>
          </w:p>
          <w:p w14:paraId="285D17DC" w14:textId="77777777" w:rsidR="002F6625" w:rsidRPr="008E4932" w:rsidRDefault="002F6625" w:rsidP="00DE61C8">
            <w:pPr>
              <w:pStyle w:val="TabletextrowsAgency"/>
              <w:spacing w:line="240" w:lineRule="auto"/>
            </w:pPr>
          </w:p>
          <w:p w14:paraId="6CE57F94" w14:textId="5D23255C" w:rsidR="002F6625" w:rsidRPr="008E4932" w:rsidRDefault="002F6625" w:rsidP="00DE61C8">
            <w:pPr>
              <w:pStyle w:val="TabletextrowsAgency"/>
              <w:spacing w:line="240" w:lineRule="auto"/>
            </w:pPr>
            <w:r w:rsidRPr="008E4932">
              <w:t xml:space="preserve">(The addition of a table to present in </w:t>
            </w:r>
            <w:r w:rsidRPr="008E4932">
              <w:lastRenderedPageBreak/>
              <w:t>vitro drug-drug interaction (DDI) information)</w:t>
            </w:r>
          </w:p>
        </w:tc>
        <w:tc>
          <w:tcPr>
            <w:tcW w:w="701" w:type="pct"/>
            <w:shd w:val="clear" w:color="auto" w:fill="E1E3F2"/>
          </w:tcPr>
          <w:p w14:paraId="6CE57F95" w14:textId="63B0DC71" w:rsidR="002F6625" w:rsidRPr="008E4932" w:rsidRDefault="002F6625" w:rsidP="00A20143">
            <w:pPr>
              <w:pStyle w:val="TabletextrowsAgency"/>
            </w:pPr>
          </w:p>
        </w:tc>
        <w:tc>
          <w:tcPr>
            <w:tcW w:w="2006" w:type="pct"/>
            <w:shd w:val="clear" w:color="auto" w:fill="E1E3F2"/>
          </w:tcPr>
          <w:p w14:paraId="6CE57F96" w14:textId="327C7BEB" w:rsidR="002F6625" w:rsidRPr="008E4932" w:rsidRDefault="002F6625" w:rsidP="00BE7003">
            <w:pPr>
              <w:pStyle w:val="TabletextrowsAgency"/>
              <w:spacing w:line="240" w:lineRule="auto"/>
            </w:pPr>
            <w:r w:rsidRPr="008E4932">
              <w:rPr>
                <w:b/>
              </w:rPr>
              <w:t>Comment</w:t>
            </w:r>
            <w:r w:rsidRPr="008E4932">
              <w:t xml:space="preserve">: We agree that a table format would be useful to summarize the outcome from all static model DDI predictions. In addition to static modelling predictions, it would be beneficial if the agency </w:t>
            </w:r>
            <w:proofErr w:type="gramStart"/>
            <w:r w:rsidRPr="008E4932">
              <w:t>was</w:t>
            </w:r>
            <w:proofErr w:type="gramEnd"/>
            <w:r w:rsidRPr="008E4932">
              <w:t xml:space="preserve"> open to looking at a table </w:t>
            </w:r>
            <w:r w:rsidRPr="008E4932">
              <w:lastRenderedPageBreak/>
              <w:t>summarizing the outcome from any PBPK modelling that the sponsor may have conducted.</w:t>
            </w:r>
          </w:p>
          <w:p w14:paraId="46AF0CF5" w14:textId="77777777" w:rsidR="002F6625" w:rsidRPr="008E4932" w:rsidRDefault="002F6625" w:rsidP="00BE7003">
            <w:pPr>
              <w:pStyle w:val="TabletextrowsAgency"/>
              <w:spacing w:line="240" w:lineRule="auto"/>
            </w:pPr>
          </w:p>
          <w:p w14:paraId="6CE57F97" w14:textId="070532E7" w:rsidR="002F6625" w:rsidRPr="008E4932" w:rsidRDefault="002F6625" w:rsidP="00BE7003">
            <w:pPr>
              <w:pStyle w:val="TabletextrowsAgency"/>
              <w:spacing w:line="240" w:lineRule="auto"/>
            </w:pPr>
            <w:r w:rsidRPr="008E4932">
              <w:t xml:space="preserve">Any table should include unbound Ki or KI values or </w:t>
            </w:r>
            <w:proofErr w:type="spellStart"/>
            <w:r w:rsidRPr="008E4932">
              <w:t>fu</w:t>
            </w:r>
            <w:r w:rsidRPr="008E4932">
              <w:rPr>
                <w:vertAlign w:val="subscript"/>
              </w:rPr>
              <w:t>mic</w:t>
            </w:r>
            <w:proofErr w:type="spellEnd"/>
            <w:r w:rsidRPr="008E4932">
              <w:t xml:space="preserve"> for those values for CYP enzyme DDI.  It would also be of value to have the static predicted “R” value and mechanistic modelled (static or PBPK) AUCR value to put the in vitro DDI information into perspective with the clinical exposures.</w:t>
            </w:r>
          </w:p>
          <w:p w14:paraId="6C935F4E" w14:textId="77777777" w:rsidR="002F6625" w:rsidRPr="008E4932" w:rsidRDefault="002F6625" w:rsidP="00BE7003">
            <w:pPr>
              <w:pStyle w:val="TabletextrowsAgency"/>
              <w:spacing w:line="240" w:lineRule="auto"/>
            </w:pPr>
          </w:p>
          <w:p w14:paraId="6CE57F99" w14:textId="45347699" w:rsidR="002F6625" w:rsidRPr="008E4932" w:rsidRDefault="002F6625" w:rsidP="00856EF9">
            <w:pPr>
              <w:pStyle w:val="TabletextrowsAgency"/>
              <w:spacing w:line="240" w:lineRule="auto"/>
              <w:rPr>
                <w:rFonts w:eastAsia="SimSun"/>
                <w:color w:val="0070C0"/>
              </w:rPr>
            </w:pPr>
          </w:p>
        </w:tc>
        <w:tc>
          <w:tcPr>
            <w:tcW w:w="1537" w:type="pct"/>
            <w:shd w:val="clear" w:color="auto" w:fill="E1E3F2"/>
          </w:tcPr>
          <w:p w14:paraId="6CE57F9A" w14:textId="77777777" w:rsidR="002F6625" w:rsidRPr="008E4932" w:rsidRDefault="002F6625" w:rsidP="00A20143">
            <w:pPr>
              <w:pStyle w:val="TabletextrowsAgency"/>
            </w:pPr>
          </w:p>
        </w:tc>
      </w:tr>
      <w:tr w:rsidR="002F6625" w14:paraId="59D597DF" w14:textId="77777777" w:rsidTr="00CB22FF">
        <w:tc>
          <w:tcPr>
            <w:tcW w:w="756" w:type="pct"/>
            <w:shd w:val="clear" w:color="auto" w:fill="E1E3F2"/>
          </w:tcPr>
          <w:p w14:paraId="7BB11763" w14:textId="77777777" w:rsidR="002F6625" w:rsidRPr="008E4932" w:rsidRDefault="002F6625" w:rsidP="002F6625">
            <w:pPr>
              <w:pStyle w:val="TabletextrowsAgency"/>
            </w:pPr>
            <w:r w:rsidRPr="008E4932">
              <w:lastRenderedPageBreak/>
              <w:t>Line 29-30</w:t>
            </w:r>
          </w:p>
          <w:p w14:paraId="53DB3B6E" w14:textId="77777777" w:rsidR="002F6625" w:rsidRPr="008E4932" w:rsidRDefault="002F6625" w:rsidP="002F6625">
            <w:pPr>
              <w:pStyle w:val="Default"/>
              <w:rPr>
                <w:sz w:val="18"/>
                <w:szCs w:val="18"/>
              </w:rPr>
            </w:pPr>
          </w:p>
          <w:p w14:paraId="1C83DE94" w14:textId="77777777" w:rsidR="002F6625" w:rsidRPr="008E4932" w:rsidRDefault="002F6625" w:rsidP="002F6625">
            <w:pPr>
              <w:pStyle w:val="Default"/>
              <w:rPr>
                <w:sz w:val="18"/>
                <w:szCs w:val="18"/>
              </w:rPr>
            </w:pPr>
            <w:r w:rsidRPr="008E4932">
              <w:rPr>
                <w:sz w:val="18"/>
                <w:szCs w:val="18"/>
              </w:rPr>
              <w:t>(Specifying a cutoff (two-fold) for the inhibition constant ‘Ki’ shift to conclude mechanism based inhibition, including details regarding the pre-incubation duration)</w:t>
            </w:r>
          </w:p>
          <w:p w14:paraId="39C02B00" w14:textId="1305B558" w:rsidR="002F6625" w:rsidRPr="008E4932" w:rsidRDefault="002F6625" w:rsidP="00EE1E59">
            <w:pPr>
              <w:pStyle w:val="TabletextrowsAgency"/>
            </w:pPr>
          </w:p>
        </w:tc>
        <w:tc>
          <w:tcPr>
            <w:tcW w:w="701" w:type="pct"/>
            <w:shd w:val="clear" w:color="auto" w:fill="E1E3F2"/>
          </w:tcPr>
          <w:p w14:paraId="1C3E7000" w14:textId="5D0A9FB9" w:rsidR="002F6625" w:rsidRPr="008E4932" w:rsidRDefault="002F6625" w:rsidP="00A20143">
            <w:pPr>
              <w:pStyle w:val="TabletextrowsAgency"/>
              <w:rPr>
                <w:b/>
                <w:highlight w:val="green"/>
              </w:rPr>
            </w:pPr>
          </w:p>
        </w:tc>
        <w:tc>
          <w:tcPr>
            <w:tcW w:w="2006" w:type="pct"/>
            <w:shd w:val="clear" w:color="auto" w:fill="E1E3F2"/>
          </w:tcPr>
          <w:p w14:paraId="09363626" w14:textId="5546700B" w:rsidR="002F6625" w:rsidRPr="008E4932" w:rsidRDefault="00375B18" w:rsidP="00312054">
            <w:pPr>
              <w:pStyle w:val="TabletextrowsAgency"/>
              <w:spacing w:line="240" w:lineRule="auto"/>
              <w:rPr>
                <w:b/>
              </w:rPr>
            </w:pPr>
            <w:r w:rsidRPr="008E4932">
              <w:rPr>
                <w:b/>
              </w:rPr>
              <w:t xml:space="preserve">Comment:   </w:t>
            </w:r>
          </w:p>
          <w:p w14:paraId="0CA3F68D" w14:textId="77777777" w:rsidR="002F6625" w:rsidRPr="008E4932" w:rsidRDefault="002F6625" w:rsidP="00C35ABB">
            <w:pPr>
              <w:pStyle w:val="TabletextrowsAgency"/>
              <w:spacing w:line="240" w:lineRule="auto"/>
            </w:pPr>
          </w:p>
          <w:p w14:paraId="54E8B31D" w14:textId="3FA3DA9A" w:rsidR="002F6625" w:rsidRPr="008E4932" w:rsidRDefault="002F6625" w:rsidP="00C35ABB">
            <w:pPr>
              <w:pStyle w:val="TabletextrowsAgency"/>
              <w:spacing w:line="240" w:lineRule="auto"/>
            </w:pPr>
            <w:r w:rsidRPr="008E4932">
              <w:t xml:space="preserve">There are compounds that are known to be time-dependent </w:t>
            </w:r>
            <w:proofErr w:type="spellStart"/>
            <w:r w:rsidRPr="008E4932">
              <w:t>inactivators</w:t>
            </w:r>
            <w:proofErr w:type="spellEnd"/>
            <w:r w:rsidRPr="008E4932">
              <w:t xml:space="preserve"> (TDI) that have shown IC</w:t>
            </w:r>
            <w:r w:rsidRPr="008E4932">
              <w:rPr>
                <w:vertAlign w:val="subscript"/>
              </w:rPr>
              <w:t>50</w:t>
            </w:r>
            <w:r w:rsidRPr="008E4932">
              <w:t xml:space="preserve"> shifts</w:t>
            </w:r>
            <w:r w:rsidR="00553F78" w:rsidRPr="008E4932">
              <w:t xml:space="preserve"> (not ‘Ki shift’)</w:t>
            </w:r>
            <w:r w:rsidR="000A7FD5" w:rsidRPr="008E4932">
              <w:t xml:space="preserve"> of ≥1.5 </w:t>
            </w:r>
            <w:r w:rsidRPr="008E4932">
              <w:t xml:space="preserve">with a 30-min </w:t>
            </w:r>
            <w:proofErr w:type="spellStart"/>
            <w:r w:rsidRPr="008E4932">
              <w:t>preincubation</w:t>
            </w:r>
            <w:proofErr w:type="spellEnd"/>
            <w:r w:rsidRPr="008E4932">
              <w:t xml:space="preserve"> (Berry and Zhao 2008 </w:t>
            </w:r>
            <w:r w:rsidRPr="008E4932">
              <w:rPr>
                <w:i/>
              </w:rPr>
              <w:t xml:space="preserve">Drug </w:t>
            </w:r>
            <w:proofErr w:type="spellStart"/>
            <w:r w:rsidRPr="008E4932">
              <w:rPr>
                <w:i/>
              </w:rPr>
              <w:t>Metab</w:t>
            </w:r>
            <w:proofErr w:type="spellEnd"/>
            <w:r w:rsidRPr="008E4932">
              <w:rPr>
                <w:i/>
              </w:rPr>
              <w:t xml:space="preserve"> Letters</w:t>
            </w:r>
            <w:r w:rsidRPr="008E4932">
              <w:t xml:space="preserve"> 2:51-59), this suggests the use of such values as a cut-off for identifying a compound as a TDI.  </w:t>
            </w:r>
          </w:p>
          <w:p w14:paraId="7E2C552B" w14:textId="77777777" w:rsidR="002F6625" w:rsidRPr="008E4932" w:rsidRDefault="002F6625" w:rsidP="00C35ABB">
            <w:pPr>
              <w:pStyle w:val="TabletextrowsAgency"/>
              <w:spacing w:line="240" w:lineRule="auto"/>
            </w:pPr>
          </w:p>
          <w:p w14:paraId="05CC5992" w14:textId="77777777" w:rsidR="002F6625" w:rsidRPr="008E4932" w:rsidRDefault="002F6625" w:rsidP="00C35ABB">
            <w:pPr>
              <w:pStyle w:val="TabletextrowsAgency"/>
              <w:spacing w:line="240" w:lineRule="auto"/>
            </w:pPr>
            <w:r w:rsidRPr="008E4932">
              <w:t>It is suggested that other assays such the “loss of activity” or “</w:t>
            </w:r>
            <w:proofErr w:type="spellStart"/>
            <w:r w:rsidRPr="008E4932">
              <w:t>kobs</w:t>
            </w:r>
            <w:proofErr w:type="spellEnd"/>
            <w:r w:rsidRPr="008E4932">
              <w:t xml:space="preserve">” assays as other options for an initial TDI screen (Wong et al., 2016 </w:t>
            </w:r>
            <w:proofErr w:type="spellStart"/>
            <w:r w:rsidRPr="008E4932">
              <w:t>Xenobiotica</w:t>
            </w:r>
            <w:proofErr w:type="spellEnd"/>
            <w:r w:rsidRPr="008E4932">
              <w:t xml:space="preserve">, 46:11, 953-966 and </w:t>
            </w:r>
            <w:proofErr w:type="spellStart"/>
            <w:r w:rsidRPr="008E4932">
              <w:t>Zimmerlin</w:t>
            </w:r>
            <w:proofErr w:type="spellEnd"/>
            <w:r w:rsidRPr="008E4932">
              <w:t xml:space="preserve"> et al. (2001) </w:t>
            </w:r>
            <w:r w:rsidRPr="008E4932">
              <w:rPr>
                <w:i/>
              </w:rPr>
              <w:t xml:space="preserve">Drug </w:t>
            </w:r>
            <w:proofErr w:type="spellStart"/>
            <w:r w:rsidRPr="008E4932">
              <w:rPr>
                <w:i/>
              </w:rPr>
              <w:t>Metab</w:t>
            </w:r>
            <w:proofErr w:type="spellEnd"/>
            <w:r w:rsidRPr="008E4932">
              <w:rPr>
                <w:i/>
              </w:rPr>
              <w:t xml:space="preserve"> </w:t>
            </w:r>
            <w:proofErr w:type="spellStart"/>
            <w:r w:rsidRPr="008E4932">
              <w:rPr>
                <w:i/>
              </w:rPr>
              <w:t>Dispos</w:t>
            </w:r>
            <w:proofErr w:type="spellEnd"/>
            <w:r w:rsidRPr="008E4932">
              <w:rPr>
                <w:i/>
              </w:rPr>
              <w:t xml:space="preserve"> </w:t>
            </w:r>
            <w:r w:rsidRPr="008E4932">
              <w:t xml:space="preserve">39:1039-46) should be used. The “loss of activity” assay (% inhibition at 30 min, 10 </w:t>
            </w:r>
            <w:proofErr w:type="spellStart"/>
            <w:r w:rsidRPr="008E4932">
              <w:t>uM</w:t>
            </w:r>
            <w:proofErr w:type="spellEnd"/>
            <w:r w:rsidRPr="008E4932">
              <w:t>) was found to be a good predictor of in vivo DDI and had a low potential for false negatives or positives. Cut-off values are proposed in each of the publications.</w:t>
            </w:r>
          </w:p>
          <w:p w14:paraId="0B94EEC3" w14:textId="77777777" w:rsidR="002F6625" w:rsidRPr="008E4932" w:rsidRDefault="002F6625" w:rsidP="00C35ABB">
            <w:pPr>
              <w:pStyle w:val="TabletextrowsAgency"/>
              <w:spacing w:line="240" w:lineRule="auto"/>
            </w:pPr>
          </w:p>
          <w:p w14:paraId="6B987592" w14:textId="77777777" w:rsidR="002F6625" w:rsidRPr="008E4932" w:rsidRDefault="002F6625" w:rsidP="00C35ABB">
            <w:pPr>
              <w:pStyle w:val="TabletextrowsAgency"/>
              <w:spacing w:line="240" w:lineRule="auto"/>
              <w:rPr>
                <w:lang w:val="en-US"/>
              </w:rPr>
            </w:pPr>
            <w:r w:rsidRPr="008E4932">
              <w:t>The</w:t>
            </w:r>
            <w:r w:rsidRPr="008E4932">
              <w:rPr>
                <w:lang w:val="en-US"/>
              </w:rPr>
              <w:t xml:space="preserve"> </w:t>
            </w:r>
            <w:proofErr w:type="spellStart"/>
            <w:r w:rsidRPr="008E4932">
              <w:rPr>
                <w:lang w:val="en-US"/>
              </w:rPr>
              <w:t>preincubation</w:t>
            </w:r>
            <w:proofErr w:type="spellEnd"/>
            <w:r w:rsidRPr="008E4932">
              <w:rPr>
                <w:lang w:val="en-US"/>
              </w:rPr>
              <w:t xml:space="preserve"> duration is recommended to be 30 min (Grimm et al., 2009 </w:t>
            </w:r>
            <w:r w:rsidRPr="008E4932">
              <w:rPr>
                <w:i/>
                <w:lang w:val="en-US"/>
              </w:rPr>
              <w:t xml:space="preserve">Drug </w:t>
            </w:r>
            <w:proofErr w:type="spellStart"/>
            <w:r w:rsidRPr="008E4932">
              <w:rPr>
                <w:i/>
                <w:lang w:val="en-US"/>
              </w:rPr>
              <w:t>Metab</w:t>
            </w:r>
            <w:proofErr w:type="spellEnd"/>
            <w:r w:rsidRPr="008E4932">
              <w:rPr>
                <w:i/>
                <w:lang w:val="en-US"/>
              </w:rPr>
              <w:t xml:space="preserve"> </w:t>
            </w:r>
            <w:proofErr w:type="spellStart"/>
            <w:r w:rsidRPr="008E4932">
              <w:rPr>
                <w:i/>
                <w:lang w:val="en-US"/>
              </w:rPr>
              <w:t>Dispos</w:t>
            </w:r>
            <w:proofErr w:type="spellEnd"/>
            <w:r w:rsidRPr="008E4932">
              <w:rPr>
                <w:i/>
                <w:lang w:val="en-US"/>
              </w:rPr>
              <w:t xml:space="preserve"> </w:t>
            </w:r>
            <w:r w:rsidRPr="008E4932">
              <w:rPr>
                <w:lang w:val="en-US"/>
              </w:rPr>
              <w:t>37:1355–1370).</w:t>
            </w:r>
          </w:p>
          <w:p w14:paraId="518B429D" w14:textId="77777777" w:rsidR="002F6625" w:rsidRPr="008E4932" w:rsidRDefault="002F6625" w:rsidP="00C35ABB">
            <w:pPr>
              <w:pStyle w:val="TabletextrowsAgency"/>
              <w:spacing w:line="240" w:lineRule="auto"/>
              <w:rPr>
                <w:lang w:val="en-US"/>
              </w:rPr>
            </w:pPr>
          </w:p>
          <w:p w14:paraId="72B309AA" w14:textId="77777777" w:rsidR="002F6625" w:rsidRPr="008E4932" w:rsidRDefault="002F6625" w:rsidP="00312054">
            <w:pPr>
              <w:pStyle w:val="TabletextrowsAgency"/>
              <w:spacing w:line="240" w:lineRule="auto"/>
              <w:rPr>
                <w:b/>
              </w:rPr>
            </w:pPr>
          </w:p>
          <w:p w14:paraId="66876177" w14:textId="6351646E" w:rsidR="002F6625" w:rsidRPr="008E4932" w:rsidRDefault="002F6625" w:rsidP="00C35ABB">
            <w:pPr>
              <w:pStyle w:val="TabletextrowsAgency"/>
              <w:spacing w:line="240" w:lineRule="auto"/>
            </w:pPr>
            <w:r w:rsidRPr="008E4932">
              <w:rPr>
                <w:b/>
              </w:rPr>
              <w:t>Proposed change (if any):</w:t>
            </w:r>
            <w:r w:rsidRPr="008E4932">
              <w:t xml:space="preserve">  Terminology change from Ki to IC50.  </w:t>
            </w:r>
            <w:r w:rsidR="000A7FD5" w:rsidRPr="008E4932">
              <w:t xml:space="preserve"> </w:t>
            </w:r>
            <w:r w:rsidR="00375B18" w:rsidRPr="008E4932">
              <w:t>The</w:t>
            </w:r>
            <w:r w:rsidR="00375B18" w:rsidRPr="008E4932">
              <w:rPr>
                <w:lang w:val="en-US"/>
              </w:rPr>
              <w:t xml:space="preserve"> </w:t>
            </w:r>
            <w:proofErr w:type="spellStart"/>
            <w:r w:rsidR="00375B18" w:rsidRPr="008E4932">
              <w:rPr>
                <w:lang w:val="en-US"/>
              </w:rPr>
              <w:t>preincubation</w:t>
            </w:r>
            <w:proofErr w:type="spellEnd"/>
            <w:r w:rsidR="00375B18" w:rsidRPr="008E4932">
              <w:rPr>
                <w:lang w:val="en-US"/>
              </w:rPr>
              <w:t xml:space="preserve"> duration is recommended to be 30 min (Grimm et al., 2009 </w:t>
            </w:r>
            <w:r w:rsidR="00375B18" w:rsidRPr="008E4932">
              <w:rPr>
                <w:i/>
                <w:lang w:val="en-US"/>
              </w:rPr>
              <w:t xml:space="preserve">Drug </w:t>
            </w:r>
            <w:proofErr w:type="spellStart"/>
            <w:r w:rsidR="00375B18" w:rsidRPr="008E4932">
              <w:rPr>
                <w:i/>
                <w:lang w:val="en-US"/>
              </w:rPr>
              <w:t>Metab</w:t>
            </w:r>
            <w:proofErr w:type="spellEnd"/>
            <w:r w:rsidR="00375B18" w:rsidRPr="008E4932">
              <w:rPr>
                <w:i/>
                <w:lang w:val="en-US"/>
              </w:rPr>
              <w:t xml:space="preserve"> </w:t>
            </w:r>
            <w:proofErr w:type="spellStart"/>
            <w:r w:rsidR="00375B18" w:rsidRPr="008E4932">
              <w:rPr>
                <w:i/>
                <w:lang w:val="en-US"/>
              </w:rPr>
              <w:t>Dispos</w:t>
            </w:r>
            <w:proofErr w:type="spellEnd"/>
            <w:r w:rsidR="00375B18" w:rsidRPr="008E4932">
              <w:rPr>
                <w:i/>
                <w:lang w:val="en-US"/>
              </w:rPr>
              <w:t xml:space="preserve"> </w:t>
            </w:r>
            <w:r w:rsidR="00375B18" w:rsidRPr="008E4932">
              <w:rPr>
                <w:lang w:val="en-US"/>
              </w:rPr>
              <w:t>37:1355–1370).</w:t>
            </w:r>
          </w:p>
          <w:p w14:paraId="225B710A" w14:textId="77777777" w:rsidR="002F6625" w:rsidRPr="008E4932" w:rsidRDefault="002F6625" w:rsidP="000C067C">
            <w:pPr>
              <w:pStyle w:val="TabletextrowsAgency"/>
              <w:rPr>
                <w:b/>
              </w:rPr>
            </w:pPr>
          </w:p>
        </w:tc>
        <w:tc>
          <w:tcPr>
            <w:tcW w:w="1537" w:type="pct"/>
            <w:shd w:val="clear" w:color="auto" w:fill="E1E3F2"/>
          </w:tcPr>
          <w:p w14:paraId="290C5996" w14:textId="77777777" w:rsidR="002F6625" w:rsidRPr="008E4932" w:rsidRDefault="002F6625" w:rsidP="00A20143">
            <w:pPr>
              <w:pStyle w:val="TabletextrowsAgency"/>
            </w:pPr>
          </w:p>
        </w:tc>
      </w:tr>
      <w:tr w:rsidR="002F6625" w14:paraId="6D29841A" w14:textId="77777777" w:rsidTr="00CB22FF">
        <w:tc>
          <w:tcPr>
            <w:tcW w:w="756" w:type="pct"/>
            <w:shd w:val="clear" w:color="auto" w:fill="E1E3F2"/>
          </w:tcPr>
          <w:p w14:paraId="0C57DC00" w14:textId="77777777" w:rsidR="002F6625" w:rsidRPr="008E4932" w:rsidRDefault="002F6625" w:rsidP="002F6625">
            <w:pPr>
              <w:pStyle w:val="TabletextrowsAgency"/>
            </w:pPr>
            <w:r w:rsidRPr="008E4932">
              <w:lastRenderedPageBreak/>
              <w:t>Line 31</w:t>
            </w:r>
          </w:p>
          <w:p w14:paraId="2C37AA60" w14:textId="219F9A9C" w:rsidR="002F6625" w:rsidRPr="008E4932" w:rsidRDefault="002F6625" w:rsidP="002F6625">
            <w:pPr>
              <w:pStyle w:val="TabletextrowsAgency"/>
              <w:spacing w:line="240" w:lineRule="auto"/>
            </w:pPr>
            <w:r w:rsidRPr="008E4932">
              <w:t>(In vitro induction screening: update on study design recommendations)</w:t>
            </w:r>
          </w:p>
        </w:tc>
        <w:tc>
          <w:tcPr>
            <w:tcW w:w="701" w:type="pct"/>
            <w:shd w:val="clear" w:color="auto" w:fill="E1E3F2"/>
          </w:tcPr>
          <w:p w14:paraId="6E8FF57F" w14:textId="75FE975D" w:rsidR="002F6625" w:rsidRPr="008E4932" w:rsidRDefault="002F6625" w:rsidP="0055501B">
            <w:pPr>
              <w:pStyle w:val="TabletextrowsAgency"/>
              <w:spacing w:line="240" w:lineRule="auto"/>
              <w:rPr>
                <w:b/>
                <w:highlight w:val="green"/>
              </w:rPr>
            </w:pPr>
          </w:p>
        </w:tc>
        <w:tc>
          <w:tcPr>
            <w:tcW w:w="2006" w:type="pct"/>
            <w:shd w:val="clear" w:color="auto" w:fill="E1E3F2"/>
          </w:tcPr>
          <w:p w14:paraId="27FBEDC1" w14:textId="7D66321B" w:rsidR="002F6625" w:rsidRPr="008E4932" w:rsidRDefault="002F6625" w:rsidP="00312054">
            <w:pPr>
              <w:pStyle w:val="TabletextrowsAgency"/>
              <w:spacing w:line="240" w:lineRule="auto"/>
              <w:rPr>
                <w:b/>
              </w:rPr>
            </w:pPr>
            <w:r w:rsidRPr="008E4932">
              <w:rPr>
                <w:b/>
              </w:rPr>
              <w:t xml:space="preserve">Comment:  </w:t>
            </w:r>
            <w:r w:rsidR="00375B18" w:rsidRPr="008E4932">
              <w:rPr>
                <w:b/>
              </w:rPr>
              <w:t xml:space="preserve">  </w:t>
            </w:r>
            <w:r w:rsidRPr="008E4932">
              <w:t>It may be premature to update the current guidance for in vitro induction screening. Literature data is only now emerging on how measured concentrations may impact EC</w:t>
            </w:r>
            <w:r w:rsidRPr="008E4932">
              <w:rPr>
                <w:vertAlign w:val="subscript"/>
              </w:rPr>
              <w:t>50</w:t>
            </w:r>
            <w:r w:rsidRPr="008E4932">
              <w:t xml:space="preserve"> values.  </w:t>
            </w:r>
          </w:p>
          <w:p w14:paraId="06DCC255" w14:textId="77777777" w:rsidR="002F6625" w:rsidRPr="008E4932" w:rsidRDefault="002F6625" w:rsidP="00312054">
            <w:pPr>
              <w:pStyle w:val="TabletextrowsAgency"/>
              <w:spacing w:line="240" w:lineRule="auto"/>
            </w:pPr>
          </w:p>
          <w:p w14:paraId="5E17F9B7" w14:textId="77777777" w:rsidR="002F6625" w:rsidRPr="008E4932" w:rsidRDefault="002F6625" w:rsidP="00312054">
            <w:pPr>
              <w:pStyle w:val="TabletextrowsAgency"/>
              <w:spacing w:line="240" w:lineRule="auto"/>
            </w:pPr>
            <w:r w:rsidRPr="008E4932">
              <w:t xml:space="preserve">More clarity is requested around the term “negligible” (pg.22 of the current DDI guidance), with respect to compound loss in in vitro induction assays. </w:t>
            </w:r>
          </w:p>
          <w:p w14:paraId="58D3BC38" w14:textId="77777777" w:rsidR="002F6625" w:rsidRPr="008E4932" w:rsidRDefault="002F6625" w:rsidP="00312054">
            <w:pPr>
              <w:pStyle w:val="TabletextrowsAgency"/>
              <w:spacing w:line="240" w:lineRule="auto"/>
            </w:pPr>
          </w:p>
          <w:p w14:paraId="4DE888E9" w14:textId="77777777" w:rsidR="002F6625" w:rsidRPr="008E4932" w:rsidRDefault="002F6625" w:rsidP="00312054">
            <w:pPr>
              <w:pStyle w:val="TabletextrowsAgency"/>
              <w:spacing w:line="240" w:lineRule="auto"/>
            </w:pPr>
            <w:r w:rsidRPr="008E4932">
              <w:rPr>
                <w:i/>
              </w:rPr>
              <w:t>“Unless loss due to in vitro drug metabolism, degradation or lysosomal trapping of drug during culture conditions has been shown to be negligible, or if the loss has been quantified in the system prior to the induction assay and compensated for through the amount of drug added /medium change interval, measurements of concentration of parent drug in the medium are encouraged at several time points the last day of the incubation”.</w:t>
            </w:r>
            <w:r w:rsidRPr="008E4932">
              <w:t xml:space="preserve">  </w:t>
            </w:r>
          </w:p>
          <w:p w14:paraId="6CD920F1" w14:textId="77777777" w:rsidR="002F6625" w:rsidRPr="008E4932" w:rsidRDefault="002F6625" w:rsidP="00312054">
            <w:pPr>
              <w:pStyle w:val="TabletextrowsAgency"/>
              <w:spacing w:line="240" w:lineRule="auto"/>
            </w:pPr>
          </w:p>
          <w:p w14:paraId="00DD0E00" w14:textId="3F524A6A" w:rsidR="002F6625" w:rsidRPr="008E4932" w:rsidRDefault="002F6625" w:rsidP="0055501B">
            <w:pPr>
              <w:pStyle w:val="TabletextrowsAgency"/>
              <w:spacing w:line="240" w:lineRule="auto"/>
            </w:pPr>
            <w:r w:rsidRPr="008E4932">
              <w:t>We believe it would be useful to define what is meant by “negligible” loss.  For example, ‘&lt;50 % of test article lost from the media at end of the last day of treatment’ may be a useful guideline.</w:t>
            </w:r>
          </w:p>
          <w:p w14:paraId="3035DFB2" w14:textId="77777777" w:rsidR="002F6625" w:rsidRPr="008E4932" w:rsidRDefault="002F6625" w:rsidP="0055501B">
            <w:pPr>
              <w:pStyle w:val="TabletextrowsAgency"/>
              <w:spacing w:line="240" w:lineRule="auto"/>
            </w:pPr>
          </w:p>
          <w:p w14:paraId="3FE430EE" w14:textId="7B046216" w:rsidR="002F6625" w:rsidRPr="008E4932" w:rsidRDefault="002F6625" w:rsidP="00312054">
            <w:pPr>
              <w:pStyle w:val="TabletextrowsAgency"/>
              <w:spacing w:line="240" w:lineRule="auto"/>
              <w:rPr>
                <w:color w:val="FF0000"/>
              </w:rPr>
            </w:pPr>
            <w:r w:rsidRPr="008E4932">
              <w:t xml:space="preserve">Incubation durations for the induction study are typically 2-3 days, as surveyed across Pharma Co. (Chu et al., Drug </w:t>
            </w:r>
            <w:proofErr w:type="spellStart"/>
            <w:r w:rsidRPr="008E4932">
              <w:t>Metab</w:t>
            </w:r>
            <w:proofErr w:type="spellEnd"/>
            <w:r w:rsidRPr="008E4932">
              <w:t xml:space="preserve"> </w:t>
            </w:r>
            <w:proofErr w:type="spellStart"/>
            <w:r w:rsidRPr="008E4932">
              <w:t>Dispos</w:t>
            </w:r>
            <w:proofErr w:type="spellEnd"/>
            <w:r w:rsidRPr="008E4932">
              <w:t xml:space="preserve"> 2009 37:1339–1354). Particularly for mRNA measurements, positive control responses are more than adequate at 48h of treatment.  Treatment durations of 72h do not appear to offer a better mRNA induction response over 48h (Zhang et al., </w:t>
            </w:r>
            <w:r w:rsidRPr="008E4932">
              <w:rPr>
                <w:i/>
              </w:rPr>
              <w:t xml:space="preserve">Drug </w:t>
            </w:r>
            <w:proofErr w:type="spellStart"/>
            <w:r w:rsidRPr="008E4932">
              <w:rPr>
                <w:i/>
              </w:rPr>
              <w:t>Metab</w:t>
            </w:r>
            <w:proofErr w:type="spellEnd"/>
            <w:r w:rsidRPr="008E4932">
              <w:rPr>
                <w:i/>
              </w:rPr>
              <w:t xml:space="preserve"> Letters</w:t>
            </w:r>
            <w:r w:rsidRPr="008E4932">
              <w:t xml:space="preserve"> 2010 4, 185-194). </w:t>
            </w:r>
          </w:p>
          <w:p w14:paraId="5B49F90C" w14:textId="77777777" w:rsidR="002F6625" w:rsidRPr="008E4932" w:rsidRDefault="002F6625" w:rsidP="0055501B">
            <w:pPr>
              <w:pStyle w:val="TabletextrowsAgency"/>
              <w:spacing w:line="240" w:lineRule="auto"/>
            </w:pPr>
          </w:p>
          <w:p w14:paraId="679388FE" w14:textId="370E7CE4" w:rsidR="002F6625" w:rsidRPr="008E4932" w:rsidRDefault="002F6625" w:rsidP="0055501B">
            <w:pPr>
              <w:pStyle w:val="TabletextrowsAgency"/>
              <w:spacing w:line="240" w:lineRule="auto"/>
            </w:pPr>
            <w:r w:rsidRPr="008E4932">
              <w:t xml:space="preserve">In addition, three days of incubation is not consistently achievable using cryopreserved primary hepatocytes.  The </w:t>
            </w:r>
            <w:r w:rsidRPr="008E4932">
              <w:lastRenderedPageBreak/>
              <w:t xml:space="preserve">EC50 for CYP3A4 induction by </w:t>
            </w:r>
            <w:proofErr w:type="spellStart"/>
            <w:r w:rsidRPr="008E4932">
              <w:t>rifampin</w:t>
            </w:r>
            <w:proofErr w:type="spellEnd"/>
            <w:r w:rsidRPr="008E4932">
              <w:t xml:space="preserve"> is 0.66 </w:t>
            </w:r>
            <w:proofErr w:type="spellStart"/>
            <w:r w:rsidRPr="008E4932">
              <w:t>uM</w:t>
            </w:r>
            <w:proofErr w:type="spellEnd"/>
            <w:r w:rsidRPr="008E4932">
              <w:t xml:space="preserve"> (Fahmi et al., DMD, 2016).  </w:t>
            </w:r>
            <w:proofErr w:type="spellStart"/>
            <w:r w:rsidRPr="008E4932">
              <w:t>Rifampin</w:t>
            </w:r>
            <w:proofErr w:type="spellEnd"/>
            <w:r w:rsidRPr="008E4932">
              <w:t xml:space="preserve"> concentrations used </w:t>
            </w:r>
            <w:proofErr w:type="gramStart"/>
            <w:r w:rsidRPr="008E4932">
              <w:t xml:space="preserve">as positive control should be 10 </w:t>
            </w:r>
            <w:proofErr w:type="spellStart"/>
            <w:r w:rsidRPr="008E4932">
              <w:t>uM</w:t>
            </w:r>
            <w:proofErr w:type="spellEnd"/>
            <w:proofErr w:type="gramEnd"/>
            <w:r w:rsidRPr="008E4932">
              <w:t xml:space="preserve"> (15 –fold above EC50).  Higher </w:t>
            </w:r>
            <w:proofErr w:type="spellStart"/>
            <w:r w:rsidRPr="008E4932">
              <w:t>rifampin</w:t>
            </w:r>
            <w:proofErr w:type="spellEnd"/>
            <w:r w:rsidRPr="008E4932">
              <w:t xml:space="preserve"> concentrations can diminish the </w:t>
            </w:r>
            <w:proofErr w:type="spellStart"/>
            <w:r w:rsidRPr="008E4932">
              <w:t>rifampin</w:t>
            </w:r>
            <w:proofErr w:type="spellEnd"/>
            <w:r w:rsidRPr="008E4932">
              <w:t xml:space="preserve"> induction response exhibiting a bell shaped curve. </w:t>
            </w:r>
          </w:p>
          <w:p w14:paraId="41570569" w14:textId="77777777" w:rsidR="002F6625" w:rsidRPr="008E4932" w:rsidRDefault="002F6625" w:rsidP="0055501B">
            <w:pPr>
              <w:pStyle w:val="TabletextrowsAgency"/>
              <w:spacing w:line="240" w:lineRule="auto"/>
            </w:pPr>
          </w:p>
          <w:p w14:paraId="79D6F4E6" w14:textId="77777777" w:rsidR="002F6625" w:rsidRPr="008E4932" w:rsidRDefault="002F6625" w:rsidP="0055501B">
            <w:pPr>
              <w:pStyle w:val="TabletextrowsAgency"/>
              <w:spacing w:line="240" w:lineRule="auto"/>
              <w:rPr>
                <w:b/>
              </w:rPr>
            </w:pPr>
            <w:r w:rsidRPr="008E4932">
              <w:rPr>
                <w:b/>
              </w:rPr>
              <w:t xml:space="preserve">Proposed change (if any):  </w:t>
            </w:r>
          </w:p>
          <w:p w14:paraId="6E355C12" w14:textId="77777777" w:rsidR="002F6625" w:rsidRPr="008E4932" w:rsidRDefault="002F6625" w:rsidP="0055501B">
            <w:pPr>
              <w:pStyle w:val="TabletextrowsAgency"/>
              <w:spacing w:line="240" w:lineRule="auto"/>
            </w:pPr>
          </w:p>
          <w:p w14:paraId="02C435CB" w14:textId="36C3DE6F" w:rsidR="002F6625" w:rsidRPr="008E4932" w:rsidRDefault="002F6625" w:rsidP="00856EF9">
            <w:pPr>
              <w:pStyle w:val="TabletextrowsAgency"/>
              <w:spacing w:line="240" w:lineRule="auto"/>
            </w:pPr>
            <w:r w:rsidRPr="008E4932">
              <w:t xml:space="preserve">Revise the length of incubation of investigational compound from 3 days to earlier time points.  </w:t>
            </w:r>
          </w:p>
          <w:p w14:paraId="706BD4B1" w14:textId="77777777" w:rsidR="002F6625" w:rsidRPr="008E4932" w:rsidRDefault="002F6625" w:rsidP="00A86F65">
            <w:pPr>
              <w:pStyle w:val="TabletextrowsAgency"/>
              <w:spacing w:line="240" w:lineRule="auto"/>
            </w:pPr>
          </w:p>
          <w:p w14:paraId="377C0652" w14:textId="6D3B6372" w:rsidR="002F6625" w:rsidRPr="008E4932" w:rsidRDefault="002F6625" w:rsidP="00A86F65">
            <w:pPr>
              <w:pStyle w:val="TabletextrowsAgency"/>
              <w:spacing w:line="240" w:lineRule="auto"/>
            </w:pPr>
            <w:r w:rsidRPr="008E4932">
              <w:t>The positive controls used should be as selective as possible and be chosen based on current scientific knowledge. Rifampicin (</w:t>
            </w:r>
            <w:r w:rsidRPr="008E4932">
              <w:rPr>
                <w:b/>
                <w:i/>
              </w:rPr>
              <w:t>10</w:t>
            </w:r>
            <w:r w:rsidRPr="008E4932">
              <w:t xml:space="preserve">μM) is recommended as positive control for PXR, CITCO (≤100 </w:t>
            </w:r>
            <w:proofErr w:type="spellStart"/>
            <w:r w:rsidRPr="008E4932">
              <w:t>nM</w:t>
            </w:r>
            <w:proofErr w:type="spellEnd"/>
            <w:r w:rsidRPr="008E4932">
              <w:t xml:space="preserve">) </w:t>
            </w:r>
            <w:r w:rsidRPr="008E4932">
              <w:rPr>
                <w:b/>
                <w:i/>
              </w:rPr>
              <w:t>or phenobarbital (≥500 µM)</w:t>
            </w:r>
            <w:r w:rsidRPr="008E4932">
              <w:rPr>
                <w:color w:val="FF0000"/>
              </w:rPr>
              <w:t xml:space="preserve"> </w:t>
            </w:r>
            <w:r w:rsidRPr="008E4932">
              <w:t>for CAR, omeprazole (50μM) for the Ah-receptor and dexamethasone (50μM) for GR.</w:t>
            </w:r>
          </w:p>
          <w:p w14:paraId="2C0B41AB" w14:textId="77777777" w:rsidR="002F6625" w:rsidRPr="008E4932" w:rsidRDefault="002F6625" w:rsidP="00A86F65">
            <w:pPr>
              <w:pStyle w:val="TabletextrowsAgency"/>
              <w:spacing w:line="240" w:lineRule="auto"/>
            </w:pPr>
          </w:p>
          <w:p w14:paraId="456350F2" w14:textId="77777777" w:rsidR="002F6625" w:rsidRPr="008E4932" w:rsidRDefault="002F6625" w:rsidP="00856EF9">
            <w:pPr>
              <w:pStyle w:val="TabletextrowsAgency"/>
              <w:spacing w:line="240" w:lineRule="auto"/>
            </w:pPr>
            <w:r w:rsidRPr="008E4932">
              <w:t xml:space="preserve">It is proposed that the positive control rifampicin be used at a concentration of 10 µM as CYP3A4 should be maximally induced at this concentration with an EC50 of ~ 1 µM (Einolf et al., 2014 </w:t>
            </w:r>
            <w:proofErr w:type="spellStart"/>
            <w:r w:rsidRPr="008E4932">
              <w:t>Clin</w:t>
            </w:r>
            <w:proofErr w:type="spellEnd"/>
            <w:r w:rsidRPr="008E4932">
              <w:t xml:space="preserve"> </w:t>
            </w:r>
            <w:proofErr w:type="spellStart"/>
            <w:r w:rsidRPr="008E4932">
              <w:t>Pharmacol</w:t>
            </w:r>
            <w:proofErr w:type="spellEnd"/>
            <w:r w:rsidRPr="008E4932">
              <w:t xml:space="preserve"> </w:t>
            </w:r>
            <w:proofErr w:type="spellStart"/>
            <w:r w:rsidRPr="008E4932">
              <w:t>Ther</w:t>
            </w:r>
            <w:proofErr w:type="spellEnd"/>
            <w:r w:rsidRPr="008E4932">
              <w:t xml:space="preserve"> 95:179-88 Supplemental Table S1) and also to be consistent with the FDA guideline.</w:t>
            </w:r>
          </w:p>
          <w:p w14:paraId="0E253806" w14:textId="77777777" w:rsidR="002F6625" w:rsidRPr="008E4932" w:rsidRDefault="002F6625" w:rsidP="00856EF9">
            <w:pPr>
              <w:pStyle w:val="TabletextrowsAgency"/>
              <w:spacing w:line="240" w:lineRule="auto"/>
            </w:pPr>
            <w:r w:rsidRPr="008E4932">
              <w:t xml:space="preserve">Even though phenobarbital is an indirect activator of CAR, it should suffice as a positive control for activation through the CAR receptor. </w:t>
            </w:r>
          </w:p>
          <w:p w14:paraId="639AD17B" w14:textId="77777777" w:rsidR="002F6625" w:rsidRPr="008E4932" w:rsidRDefault="002F6625" w:rsidP="00A86F65">
            <w:pPr>
              <w:pStyle w:val="TabletextrowsAgency"/>
              <w:spacing w:line="240" w:lineRule="auto"/>
            </w:pPr>
          </w:p>
          <w:p w14:paraId="58CA1710" w14:textId="46E31AB5" w:rsidR="002F6625" w:rsidRPr="008E4932" w:rsidRDefault="002F6625" w:rsidP="00A86F65">
            <w:pPr>
              <w:pStyle w:val="TabletextrowsAgency"/>
              <w:spacing w:line="240" w:lineRule="auto"/>
            </w:pPr>
            <w:r w:rsidRPr="008E4932">
              <w:t xml:space="preserve">If induction through PXR/CAR activation is indicated </w:t>
            </w:r>
            <w:r w:rsidRPr="008E4932">
              <w:rPr>
                <w:i/>
                <w:iCs/>
              </w:rPr>
              <w:t>in vitro</w:t>
            </w:r>
            <w:r w:rsidRPr="008E4932">
              <w:t xml:space="preserve">, an </w:t>
            </w:r>
            <w:r w:rsidRPr="008E4932">
              <w:rPr>
                <w:i/>
                <w:iCs/>
              </w:rPr>
              <w:t xml:space="preserve">in vivo </w:t>
            </w:r>
            <w:r w:rsidRPr="008E4932">
              <w:t>induction study should be performed investigating the effect on CYP3A</w:t>
            </w:r>
          </w:p>
          <w:p w14:paraId="51A7B866" w14:textId="77777777" w:rsidR="002F6625" w:rsidRPr="008E4932" w:rsidRDefault="002F6625" w:rsidP="0055501B">
            <w:pPr>
              <w:pStyle w:val="TabletextrowsAgency"/>
              <w:spacing w:line="240" w:lineRule="auto"/>
            </w:pPr>
          </w:p>
          <w:p w14:paraId="78B6CD62" w14:textId="77777777" w:rsidR="002F6625" w:rsidRPr="008E4932" w:rsidRDefault="002F6625" w:rsidP="00A86F65">
            <w:pPr>
              <w:pStyle w:val="TabletextrowsAgency"/>
              <w:spacing w:line="240" w:lineRule="auto"/>
            </w:pPr>
            <w:r w:rsidRPr="008E4932">
              <w:t>For the concentrations of test inducer to study, limitations due to solubility and cell viability should be acknowledged in the guidance.</w:t>
            </w:r>
          </w:p>
          <w:p w14:paraId="17F21E18" w14:textId="77777777" w:rsidR="002F6625" w:rsidRPr="008E4932" w:rsidRDefault="002F6625" w:rsidP="00A86F65">
            <w:pPr>
              <w:pStyle w:val="TabletextrowsAgency"/>
              <w:spacing w:line="240" w:lineRule="auto"/>
            </w:pPr>
          </w:p>
          <w:p w14:paraId="3E792B00" w14:textId="77777777" w:rsidR="002F6625" w:rsidRPr="008E4932" w:rsidRDefault="002F6625" w:rsidP="00A86F65">
            <w:pPr>
              <w:pStyle w:val="TabletextrowsAgency"/>
              <w:spacing w:line="240" w:lineRule="auto"/>
            </w:pPr>
            <w:r w:rsidRPr="008E4932">
              <w:lastRenderedPageBreak/>
              <w:t xml:space="preserve">Lastly, if an in vivo induction study for CYP3A4 is warranted based upon in vitro induction and use of modelling (basic method or more mechanistic models) and if the test drug is also a CYP3A4 inhibitor, an induction study with another inducible enzyme such as CYP2C would not be helpful in understanding the test drug’s ability to induce CYP3A4. It is proposed not to run an in vivo study with a CYP2C </w:t>
            </w:r>
            <w:proofErr w:type="gramStart"/>
            <w:r w:rsidRPr="008E4932">
              <w:t>substrate</w:t>
            </w:r>
            <w:proofErr w:type="gramEnd"/>
            <w:r w:rsidRPr="008E4932">
              <w:t xml:space="preserve"> as the magnitude of induction of CYP2C is not relevant to the induction magnitudes obtainable for CYP3A4. </w:t>
            </w:r>
          </w:p>
          <w:p w14:paraId="23C9F410" w14:textId="77777777" w:rsidR="002F6625" w:rsidRPr="008E4932" w:rsidRDefault="002F6625" w:rsidP="00015C60">
            <w:pPr>
              <w:pStyle w:val="TabletextrowsAgency"/>
              <w:spacing w:line="240" w:lineRule="auto"/>
            </w:pPr>
          </w:p>
        </w:tc>
        <w:tc>
          <w:tcPr>
            <w:tcW w:w="1537" w:type="pct"/>
            <w:shd w:val="clear" w:color="auto" w:fill="E1E3F2"/>
          </w:tcPr>
          <w:p w14:paraId="15A4C515" w14:textId="77777777" w:rsidR="002F6625" w:rsidRPr="008E4932" w:rsidRDefault="002F6625" w:rsidP="00A20143">
            <w:pPr>
              <w:pStyle w:val="TabletextrowsAgency"/>
            </w:pPr>
          </w:p>
        </w:tc>
      </w:tr>
      <w:tr w:rsidR="002F6625" w14:paraId="0CB6AA36" w14:textId="77777777" w:rsidTr="00CB22FF">
        <w:tc>
          <w:tcPr>
            <w:tcW w:w="756" w:type="pct"/>
            <w:shd w:val="clear" w:color="auto" w:fill="E1E3F2"/>
          </w:tcPr>
          <w:p w14:paraId="4E45FF80" w14:textId="77777777" w:rsidR="002F6625" w:rsidRPr="008E4932" w:rsidRDefault="002F6625" w:rsidP="00DE61C8">
            <w:pPr>
              <w:pStyle w:val="Default"/>
              <w:rPr>
                <w:sz w:val="18"/>
                <w:szCs w:val="18"/>
              </w:rPr>
            </w:pPr>
            <w:r w:rsidRPr="008E4932">
              <w:rPr>
                <w:sz w:val="18"/>
                <w:szCs w:val="18"/>
              </w:rPr>
              <w:lastRenderedPageBreak/>
              <w:t>Line 32-33</w:t>
            </w:r>
          </w:p>
          <w:p w14:paraId="6E67AF88" w14:textId="77777777" w:rsidR="002F6625" w:rsidRPr="008E4932" w:rsidRDefault="002F6625" w:rsidP="00DE61C8">
            <w:pPr>
              <w:pStyle w:val="Default"/>
              <w:rPr>
                <w:sz w:val="18"/>
                <w:szCs w:val="18"/>
              </w:rPr>
            </w:pPr>
          </w:p>
          <w:p w14:paraId="7D1BE1A6" w14:textId="1AC5F30A" w:rsidR="002F6625" w:rsidRPr="008E4932" w:rsidRDefault="002F6625" w:rsidP="00DE61C8">
            <w:pPr>
              <w:pStyle w:val="TabletextrowsAgency"/>
              <w:spacing w:line="240" w:lineRule="auto"/>
            </w:pPr>
            <w:r w:rsidRPr="008E4932">
              <w:t>(Transporter inhibition screening: update of the list of transporters to screen from a 32 pharmacokinetic perspective).</w:t>
            </w:r>
          </w:p>
        </w:tc>
        <w:tc>
          <w:tcPr>
            <w:tcW w:w="701" w:type="pct"/>
            <w:shd w:val="clear" w:color="auto" w:fill="E1E3F2"/>
          </w:tcPr>
          <w:p w14:paraId="31AC921E" w14:textId="2C62BC77" w:rsidR="002F6625" w:rsidRPr="008E4932" w:rsidRDefault="002F6625" w:rsidP="00A20143">
            <w:pPr>
              <w:pStyle w:val="TabletextrowsAgency"/>
              <w:rPr>
                <w:b/>
                <w:highlight w:val="green"/>
              </w:rPr>
            </w:pPr>
          </w:p>
        </w:tc>
        <w:tc>
          <w:tcPr>
            <w:tcW w:w="2006" w:type="pct"/>
            <w:shd w:val="clear" w:color="auto" w:fill="E1E3F2"/>
          </w:tcPr>
          <w:p w14:paraId="66813EB2" w14:textId="3709790F" w:rsidR="002F6625" w:rsidRPr="00924E4B" w:rsidRDefault="002F6625" w:rsidP="00924E4B">
            <w:pPr>
              <w:rPr>
                <w:b/>
              </w:rPr>
            </w:pPr>
            <w:r w:rsidRPr="00924E4B">
              <w:rPr>
                <w:b/>
              </w:rPr>
              <w:t xml:space="preserve">Comment: </w:t>
            </w:r>
            <w:r w:rsidRPr="00924E4B">
              <w:rPr>
                <w:lang w:val="en-US"/>
              </w:rPr>
              <w:t>It is believed that the current guidance covers the transporters that are relevant targets for pharmacokinetic drug-drug interactions based on the current knowledge. Additional transporters should be evaluated on a case-by case basis based on available information on the mechanism of action of the test drug or established structural activity relationships.</w:t>
            </w:r>
          </w:p>
          <w:p w14:paraId="03E98E77" w14:textId="77777777" w:rsidR="002F6625" w:rsidRPr="00924E4B" w:rsidRDefault="002F6625" w:rsidP="00924E4B">
            <w:pPr>
              <w:rPr>
                <w:lang w:val="en-US"/>
              </w:rPr>
            </w:pPr>
          </w:p>
          <w:p w14:paraId="7741EBB1" w14:textId="77777777" w:rsidR="002F6625" w:rsidRPr="00924E4B" w:rsidRDefault="002F6625" w:rsidP="00924E4B">
            <w:pPr>
              <w:pStyle w:val="TabletextrowsAgency"/>
              <w:spacing w:line="240" w:lineRule="auto"/>
              <w:jc w:val="both"/>
            </w:pPr>
          </w:p>
          <w:p w14:paraId="388F0FD0" w14:textId="1735746A" w:rsidR="002F6625" w:rsidRPr="00924E4B" w:rsidRDefault="002F6625" w:rsidP="00924E4B">
            <w:pPr>
              <w:pStyle w:val="TabletextrowsAgency"/>
              <w:spacing w:line="240" w:lineRule="auto"/>
            </w:pPr>
            <w:r w:rsidRPr="00924E4B">
              <w:rPr>
                <w:b/>
              </w:rPr>
              <w:t>Proposed change (if any)</w:t>
            </w:r>
            <w:r w:rsidRPr="00924E4B">
              <w:t>:</w:t>
            </w:r>
            <w:r w:rsidRPr="00924E4B">
              <w:rPr>
                <w:rFonts w:eastAsia="Calibri" w:cs="Calibri"/>
                <w:lang w:val="en-US" w:eastAsia="en-US"/>
              </w:rPr>
              <w:t xml:space="preserve"> The interpretation of clinical DDI data related to the inhibition of OCT1 can be complicated by non-selective inhibition of other transporters (e.g. OCT2 and MATE1/2K); therefore, evaluation should be restricted to the setting of potential concomitant medication with metformin.  Based upon the current knowledgebase, we do not believe that there is sufficient scientific characterization or evidence of clinical significance to merit screening of OATP2B1 and OAT2 for general consideration and these continue to be evaluated on a </w:t>
            </w:r>
            <w:proofErr w:type="gramStart"/>
            <w:r w:rsidRPr="00924E4B">
              <w:rPr>
                <w:rFonts w:eastAsia="Calibri" w:cs="Calibri"/>
                <w:lang w:val="en-US" w:eastAsia="en-US"/>
              </w:rPr>
              <w:t>case by case</w:t>
            </w:r>
            <w:proofErr w:type="gramEnd"/>
            <w:r w:rsidRPr="00924E4B">
              <w:rPr>
                <w:rFonts w:eastAsia="Calibri" w:cs="Calibri"/>
                <w:lang w:val="en-US" w:eastAsia="en-US"/>
              </w:rPr>
              <w:t xml:space="preserve"> basis.</w:t>
            </w:r>
          </w:p>
          <w:p w14:paraId="65126D5D" w14:textId="77777777" w:rsidR="002F6625" w:rsidRPr="00924E4B" w:rsidRDefault="002F6625" w:rsidP="00924E4B">
            <w:pPr>
              <w:pStyle w:val="TabletextrowsAgency"/>
              <w:spacing w:line="240" w:lineRule="auto"/>
              <w:jc w:val="both"/>
            </w:pPr>
          </w:p>
          <w:p w14:paraId="0EFA6F5E" w14:textId="77777777" w:rsidR="002F6625" w:rsidRPr="00924E4B" w:rsidRDefault="002F6625" w:rsidP="00924E4B">
            <w:pPr>
              <w:pStyle w:val="TabletextrowsAgency"/>
              <w:spacing w:line="240" w:lineRule="auto"/>
              <w:jc w:val="both"/>
            </w:pPr>
          </w:p>
          <w:p w14:paraId="320B29DF" w14:textId="6A9B945B" w:rsidR="002F6625" w:rsidRPr="00924E4B" w:rsidRDefault="002F6625" w:rsidP="00924E4B">
            <w:pPr>
              <w:pStyle w:val="TabletextrowsAgency"/>
              <w:spacing w:line="240" w:lineRule="auto"/>
              <w:jc w:val="both"/>
            </w:pPr>
            <w:r w:rsidRPr="00924E4B">
              <w:t xml:space="preserve">We propose that Bile Salt Export Pump (BSEP) be deleted from the screening list considering the clinical translation of in vitro BSEP inhibition has not been clearly established and BSEP inhibition in vivo may not result in a direct translation to </w:t>
            </w:r>
            <w:r w:rsidRPr="00924E4B">
              <w:lastRenderedPageBreak/>
              <w:t>an increase in serum bile salts.  We propose that the sponsor only study BSEP if there are liver safety signals.</w:t>
            </w:r>
          </w:p>
          <w:p w14:paraId="446E69A2" w14:textId="77777777" w:rsidR="002F6625" w:rsidRPr="008E4932" w:rsidRDefault="002F6625" w:rsidP="00C35ABB">
            <w:pPr>
              <w:pStyle w:val="TabletextrowsAgency"/>
              <w:spacing w:line="240" w:lineRule="auto"/>
              <w:rPr>
                <w:b/>
              </w:rPr>
            </w:pPr>
          </w:p>
        </w:tc>
        <w:tc>
          <w:tcPr>
            <w:tcW w:w="1537" w:type="pct"/>
            <w:shd w:val="clear" w:color="auto" w:fill="E1E3F2"/>
          </w:tcPr>
          <w:p w14:paraId="5AD7326F" w14:textId="77777777" w:rsidR="002F6625" w:rsidRPr="008E4932" w:rsidRDefault="002F6625" w:rsidP="00A20143">
            <w:pPr>
              <w:pStyle w:val="TabletextrowsAgency"/>
            </w:pPr>
          </w:p>
        </w:tc>
      </w:tr>
      <w:tr w:rsidR="002F6625" w14:paraId="6A87E917" w14:textId="77777777" w:rsidTr="00CB22FF">
        <w:tc>
          <w:tcPr>
            <w:tcW w:w="756" w:type="pct"/>
            <w:shd w:val="clear" w:color="auto" w:fill="E1E3F2"/>
          </w:tcPr>
          <w:p w14:paraId="17AA1B50" w14:textId="77777777" w:rsidR="002F6625" w:rsidRPr="008E4932" w:rsidRDefault="002F6625" w:rsidP="00924E4B">
            <w:pPr>
              <w:pStyle w:val="TabletextrowsAgency"/>
              <w:spacing w:line="240" w:lineRule="auto"/>
            </w:pPr>
            <w:r w:rsidRPr="008E4932">
              <w:lastRenderedPageBreak/>
              <w:t>Line 34-35</w:t>
            </w:r>
          </w:p>
          <w:p w14:paraId="73E687E4" w14:textId="77777777" w:rsidR="002F6625" w:rsidRPr="008E4932" w:rsidRDefault="002F6625" w:rsidP="00924E4B">
            <w:pPr>
              <w:pStyle w:val="Default"/>
              <w:rPr>
                <w:sz w:val="18"/>
                <w:szCs w:val="18"/>
              </w:rPr>
            </w:pPr>
            <w:r w:rsidRPr="008E4932">
              <w:rPr>
                <w:sz w:val="18"/>
                <w:szCs w:val="18"/>
              </w:rPr>
              <w:t>(Transporter inhibition screening: update of some cutoffs for determining in vivo relevance of in vitro inhibition).</w:t>
            </w:r>
          </w:p>
          <w:p w14:paraId="76C49EE9" w14:textId="182C505C" w:rsidR="002F6625" w:rsidRPr="008E4932" w:rsidRDefault="002F6625" w:rsidP="00924E4B">
            <w:pPr>
              <w:pStyle w:val="Default"/>
              <w:rPr>
                <w:sz w:val="18"/>
                <w:szCs w:val="18"/>
              </w:rPr>
            </w:pPr>
          </w:p>
        </w:tc>
        <w:tc>
          <w:tcPr>
            <w:tcW w:w="701" w:type="pct"/>
            <w:shd w:val="clear" w:color="auto" w:fill="E1E3F2"/>
          </w:tcPr>
          <w:p w14:paraId="70114588" w14:textId="77139357" w:rsidR="002F6625" w:rsidRPr="008E4932" w:rsidRDefault="002F6625" w:rsidP="00924E4B">
            <w:pPr>
              <w:pStyle w:val="TabletextrowsAgency"/>
              <w:spacing w:line="240" w:lineRule="auto"/>
              <w:rPr>
                <w:b/>
                <w:highlight w:val="green"/>
              </w:rPr>
            </w:pPr>
          </w:p>
        </w:tc>
        <w:tc>
          <w:tcPr>
            <w:tcW w:w="2006" w:type="pct"/>
            <w:shd w:val="clear" w:color="auto" w:fill="E1E3F2"/>
          </w:tcPr>
          <w:p w14:paraId="4010B7C5" w14:textId="77777777" w:rsidR="002F6625" w:rsidRPr="008E4932" w:rsidRDefault="002F6625" w:rsidP="00924E4B">
            <w:pPr>
              <w:rPr>
                <w:b/>
              </w:rPr>
            </w:pPr>
            <w:r w:rsidRPr="008E4932">
              <w:rPr>
                <w:b/>
              </w:rPr>
              <w:t>Comment:</w:t>
            </w:r>
          </w:p>
          <w:p w14:paraId="00B8B820" w14:textId="77777777" w:rsidR="002F6625" w:rsidRPr="008E4932" w:rsidRDefault="002F6625" w:rsidP="00924E4B">
            <w:pPr>
              <w:rPr>
                <w:b/>
              </w:rPr>
            </w:pPr>
          </w:p>
          <w:p w14:paraId="08B86E74" w14:textId="77777777" w:rsidR="002F6625" w:rsidRPr="008E4932" w:rsidRDefault="002F6625" w:rsidP="00924E4B">
            <w:pPr>
              <w:pStyle w:val="TabletextrowsAgency"/>
              <w:spacing w:line="240" w:lineRule="auto"/>
            </w:pPr>
            <w:r w:rsidRPr="008E4932">
              <w:t xml:space="preserve">As different cut-off values are being used by EMA, PMDA and FDA to determine the in vivo relevance of transporter inhibition, we would recommend EMA consider cut-off values proposed by these agencies if the guidance is updated and that it investigates additional approaches to attain some form of cross-agency harmonization where appropriate. </w:t>
            </w:r>
          </w:p>
          <w:p w14:paraId="5D5DA6DA" w14:textId="77777777" w:rsidR="002F6625" w:rsidRPr="008E4932" w:rsidRDefault="002F6625" w:rsidP="00924E4B"/>
          <w:p w14:paraId="6CD6D50E" w14:textId="77777777" w:rsidR="002F6625" w:rsidRPr="008E4932" w:rsidRDefault="002F6625" w:rsidP="00924E4B"/>
          <w:p w14:paraId="5C66D4B6" w14:textId="77777777" w:rsidR="002F6625" w:rsidRPr="008E4932" w:rsidRDefault="002F6625" w:rsidP="00924E4B">
            <w:r w:rsidRPr="008E4932">
              <w:t xml:space="preserve">In the current guidance cut-off values for transporters are based on historic clinical DDI study results and in vitro inhibition data coming from different labs. For efflux transporters large variability in vitro inhibition data has been described. Especially if different assay types are selected (cellular vs inside-out vesicles) the obtained Ki values might be different if experimental design and parameter calculations are not adequately selected. Therefore, current cut-offs might trigger unnecessary clinical studies or might even not be conservative enough. </w:t>
            </w:r>
          </w:p>
          <w:p w14:paraId="26720F11" w14:textId="77777777" w:rsidR="002F6625" w:rsidRPr="008E4932" w:rsidRDefault="002F6625" w:rsidP="00924E4B"/>
          <w:p w14:paraId="3424DC0A" w14:textId="77777777" w:rsidR="002F6625" w:rsidRPr="008E4932" w:rsidRDefault="002F6625" w:rsidP="00924E4B">
            <w:pPr>
              <w:pStyle w:val="TabletextrowsAgency"/>
              <w:spacing w:line="240" w:lineRule="auto"/>
            </w:pPr>
            <w:r w:rsidRPr="008E4932">
              <w:t xml:space="preserve">It is therefore recommended to allow the generation of assay- and lab-specific cut-offs. The new guidance might define criteria for the conduct of cut-off generation (e.g. number of compounds for the assessment, statistical methods and expectations, accepted clinical reference data). Following this approach, the requirement of investigation </w:t>
            </w:r>
            <w:proofErr w:type="spellStart"/>
            <w:r w:rsidRPr="008E4932">
              <w:t>Pgp</w:t>
            </w:r>
            <w:proofErr w:type="spellEnd"/>
            <w:r w:rsidRPr="008E4932">
              <w:t xml:space="preserve"> inhibition in two different assays systems (DDI guideline page 27) should be not be necessary any longer.</w:t>
            </w:r>
          </w:p>
          <w:p w14:paraId="051A2F12" w14:textId="77777777" w:rsidR="002F6625" w:rsidRPr="008E4932" w:rsidRDefault="002F6625" w:rsidP="00924E4B">
            <w:pPr>
              <w:pStyle w:val="TabletextrowsAgency"/>
              <w:spacing w:line="240" w:lineRule="auto"/>
            </w:pPr>
          </w:p>
          <w:p w14:paraId="588C8B4C" w14:textId="079D511D" w:rsidR="002F6625" w:rsidRPr="008E4932" w:rsidRDefault="002F6625" w:rsidP="00924E4B">
            <w:pPr>
              <w:autoSpaceDE w:val="0"/>
              <w:autoSpaceDN w:val="0"/>
              <w:adjustRightInd w:val="0"/>
              <w:rPr>
                <w:rFonts w:eastAsia="Calibri"/>
                <w:color w:val="000000"/>
                <w:lang w:val="en-US" w:eastAsia="en-US"/>
              </w:rPr>
            </w:pPr>
            <w:r w:rsidRPr="008E4932">
              <w:rPr>
                <w:rFonts w:eastAsia="Calibri"/>
                <w:color w:val="000000"/>
                <w:lang w:val="en-US" w:eastAsia="en-US"/>
              </w:rPr>
              <w:t xml:space="preserve">Also when using R-value/liver inlet concentration cut offs by </w:t>
            </w:r>
            <w:proofErr w:type="spellStart"/>
            <w:r w:rsidRPr="008E4932">
              <w:rPr>
                <w:rFonts w:eastAsia="Calibri"/>
                <w:color w:val="000000"/>
                <w:lang w:val="en-US" w:eastAsia="en-US"/>
              </w:rPr>
              <w:t>Vaidyanathan</w:t>
            </w:r>
            <w:proofErr w:type="spellEnd"/>
            <w:r w:rsidRPr="008E4932">
              <w:rPr>
                <w:rFonts w:eastAsia="Calibri"/>
                <w:color w:val="000000"/>
                <w:lang w:val="en-US" w:eastAsia="en-US"/>
              </w:rPr>
              <w:t xml:space="preserve"> et al. (J </w:t>
            </w:r>
            <w:proofErr w:type="spellStart"/>
            <w:r w:rsidRPr="008E4932">
              <w:rPr>
                <w:rFonts w:eastAsia="Calibri"/>
                <w:color w:val="000000"/>
                <w:lang w:val="en-US" w:eastAsia="en-US"/>
              </w:rPr>
              <w:t>Clin</w:t>
            </w:r>
            <w:proofErr w:type="spellEnd"/>
            <w:r w:rsidRPr="008E4932">
              <w:rPr>
                <w:rFonts w:eastAsia="Calibri"/>
                <w:color w:val="000000"/>
                <w:lang w:val="en-US" w:eastAsia="en-US"/>
              </w:rPr>
              <w:t xml:space="preserve"> </w:t>
            </w:r>
            <w:proofErr w:type="spellStart"/>
            <w:r w:rsidRPr="008E4932">
              <w:rPr>
                <w:rFonts w:eastAsia="Calibri"/>
                <w:color w:val="000000"/>
                <w:lang w:val="en-US" w:eastAsia="en-US"/>
              </w:rPr>
              <w:t>Pharmacol</w:t>
            </w:r>
            <w:proofErr w:type="spellEnd"/>
            <w:r w:rsidRPr="008E4932">
              <w:rPr>
                <w:rFonts w:eastAsia="Calibri"/>
                <w:color w:val="000000"/>
                <w:lang w:val="en-US" w:eastAsia="en-US"/>
              </w:rPr>
              <w:t>. 2016 Jul</w:t>
            </w:r>
            <w:proofErr w:type="gramStart"/>
            <w:r w:rsidRPr="008E4932">
              <w:rPr>
                <w:rFonts w:eastAsia="Calibri"/>
                <w:color w:val="000000"/>
                <w:lang w:val="en-US" w:eastAsia="en-US"/>
              </w:rPr>
              <w:t>;56</w:t>
            </w:r>
            <w:proofErr w:type="gramEnd"/>
            <w:r w:rsidRPr="008E4932">
              <w:rPr>
                <w:rFonts w:eastAsia="Calibri"/>
                <w:color w:val="000000"/>
                <w:lang w:val="en-US" w:eastAsia="en-US"/>
              </w:rPr>
              <w:t xml:space="preserve"> </w:t>
            </w:r>
            <w:proofErr w:type="spellStart"/>
            <w:r w:rsidRPr="008E4932">
              <w:rPr>
                <w:rFonts w:eastAsia="Calibri"/>
                <w:color w:val="000000"/>
                <w:lang w:val="en-US" w:eastAsia="en-US"/>
              </w:rPr>
              <w:t>Suppl</w:t>
            </w:r>
            <w:proofErr w:type="spellEnd"/>
            <w:r w:rsidRPr="008E4932">
              <w:rPr>
                <w:rFonts w:eastAsia="Calibri"/>
                <w:color w:val="000000"/>
                <w:lang w:val="en-US" w:eastAsia="en-US"/>
              </w:rPr>
              <w:t xml:space="preserve"> </w:t>
            </w:r>
            <w:r w:rsidRPr="008E4932">
              <w:rPr>
                <w:rFonts w:eastAsia="Calibri"/>
                <w:color w:val="000000"/>
                <w:lang w:val="en-US" w:eastAsia="en-US"/>
              </w:rPr>
              <w:lastRenderedPageBreak/>
              <w:t>7:S59-72), consider also the following:</w:t>
            </w:r>
          </w:p>
          <w:p w14:paraId="22C8C092" w14:textId="77777777" w:rsidR="002F6625" w:rsidRPr="008E4932" w:rsidRDefault="002F6625" w:rsidP="00924E4B">
            <w:pPr>
              <w:autoSpaceDE w:val="0"/>
              <w:autoSpaceDN w:val="0"/>
              <w:adjustRightInd w:val="0"/>
              <w:rPr>
                <w:rFonts w:eastAsia="Calibri"/>
                <w:color w:val="000000"/>
                <w:lang w:val="en-US" w:eastAsia="en-US"/>
              </w:rPr>
            </w:pPr>
          </w:p>
          <w:p w14:paraId="0A907257" w14:textId="77777777" w:rsidR="002F6625" w:rsidRPr="008E4932" w:rsidRDefault="002F6625" w:rsidP="00924E4B">
            <w:pPr>
              <w:autoSpaceDE w:val="0"/>
              <w:autoSpaceDN w:val="0"/>
              <w:adjustRightInd w:val="0"/>
              <w:rPr>
                <w:rFonts w:eastAsia="Calibri"/>
                <w:color w:val="000000"/>
                <w:lang w:val="en-US" w:eastAsia="en-US"/>
              </w:rPr>
            </w:pPr>
            <w:r w:rsidRPr="008E4932">
              <w:rPr>
                <w:rFonts w:eastAsia="Calibri"/>
                <w:color w:val="000000"/>
                <w:lang w:val="en-US" w:eastAsia="en-US"/>
              </w:rPr>
              <w:t xml:space="preserve">- For NCEs that cannot be tested to high enough concentrations </w:t>
            </w:r>
            <w:r w:rsidRPr="008E4932">
              <w:rPr>
                <w:rFonts w:eastAsia="Calibri"/>
                <w:i/>
                <w:color w:val="000000"/>
                <w:lang w:val="en-US" w:eastAsia="en-US"/>
              </w:rPr>
              <w:t>in vitro</w:t>
            </w:r>
            <w:r w:rsidRPr="008E4932">
              <w:rPr>
                <w:rFonts w:eastAsia="Calibri"/>
                <w:color w:val="000000"/>
                <w:lang w:val="en-US" w:eastAsia="en-US"/>
              </w:rPr>
              <w:t xml:space="preserve"> due to solubility limitations</w:t>
            </w:r>
            <w:proofErr w:type="gramStart"/>
            <w:r w:rsidRPr="008E4932">
              <w:rPr>
                <w:rFonts w:eastAsia="Calibri"/>
                <w:color w:val="000000"/>
                <w:lang w:val="en-US" w:eastAsia="en-US"/>
              </w:rPr>
              <w:t>;</w:t>
            </w:r>
            <w:proofErr w:type="gramEnd"/>
            <w:r w:rsidRPr="008E4932">
              <w:rPr>
                <w:rFonts w:eastAsia="Calibri"/>
                <w:color w:val="000000"/>
                <w:lang w:val="en-US" w:eastAsia="en-US"/>
              </w:rPr>
              <w:t xml:space="preserve"> need for clinical interaction studies in situations where inhibition was not observed </w:t>
            </w:r>
            <w:r w:rsidRPr="008E4932">
              <w:rPr>
                <w:rFonts w:eastAsia="Calibri"/>
                <w:i/>
                <w:color w:val="000000"/>
                <w:lang w:val="en-US" w:eastAsia="en-US"/>
              </w:rPr>
              <w:t>in vitro</w:t>
            </w:r>
            <w:r w:rsidRPr="008E4932">
              <w:rPr>
                <w:rFonts w:eastAsia="Calibri"/>
                <w:color w:val="000000"/>
                <w:lang w:val="en-US" w:eastAsia="en-US"/>
              </w:rPr>
              <w:t xml:space="preserve"> at the highest soluble concentration, as the concentration of the NCE would also be solubility limited </w:t>
            </w:r>
            <w:r w:rsidRPr="008E4932">
              <w:rPr>
                <w:rFonts w:eastAsia="Calibri"/>
                <w:i/>
                <w:color w:val="000000"/>
                <w:lang w:val="en-US" w:eastAsia="en-US"/>
              </w:rPr>
              <w:t>in vivo.</w:t>
            </w:r>
          </w:p>
          <w:p w14:paraId="627F2A27" w14:textId="77777777" w:rsidR="002F6625" w:rsidRPr="008E4932" w:rsidRDefault="002F6625" w:rsidP="00924E4B">
            <w:pPr>
              <w:autoSpaceDE w:val="0"/>
              <w:autoSpaceDN w:val="0"/>
              <w:adjustRightInd w:val="0"/>
              <w:rPr>
                <w:rFonts w:eastAsia="Calibri"/>
                <w:color w:val="000000"/>
                <w:lang w:val="en-US" w:eastAsia="en-US"/>
              </w:rPr>
            </w:pPr>
            <w:r w:rsidRPr="008E4932">
              <w:rPr>
                <w:rFonts w:eastAsia="Calibri"/>
                <w:color w:val="000000"/>
                <w:lang w:val="en-US" w:eastAsia="en-US"/>
              </w:rPr>
              <w:t xml:space="preserve"> </w:t>
            </w:r>
          </w:p>
          <w:p w14:paraId="4380FD00" w14:textId="77777777" w:rsidR="002F6625" w:rsidRPr="008E4932" w:rsidRDefault="002F6625" w:rsidP="00924E4B">
            <w:pPr>
              <w:autoSpaceDE w:val="0"/>
              <w:autoSpaceDN w:val="0"/>
              <w:adjustRightInd w:val="0"/>
              <w:rPr>
                <w:rFonts w:eastAsia="Calibri"/>
                <w:color w:val="000000"/>
                <w:lang w:val="en-US" w:eastAsia="en-US"/>
              </w:rPr>
            </w:pPr>
            <w:r w:rsidRPr="008E4932">
              <w:rPr>
                <w:rFonts w:eastAsia="Calibri"/>
                <w:color w:val="000000"/>
                <w:lang w:val="en-US" w:eastAsia="en-US"/>
              </w:rPr>
              <w:t>-</w:t>
            </w:r>
            <w:proofErr w:type="gramStart"/>
            <w:r w:rsidRPr="008E4932">
              <w:rPr>
                <w:rFonts w:eastAsia="Calibri"/>
                <w:color w:val="000000"/>
                <w:lang w:val="en-US" w:eastAsia="en-US"/>
              </w:rPr>
              <w:t>the</w:t>
            </w:r>
            <w:proofErr w:type="gramEnd"/>
            <w:r w:rsidRPr="008E4932">
              <w:rPr>
                <w:rFonts w:eastAsia="Calibri"/>
                <w:color w:val="000000"/>
                <w:lang w:val="en-US" w:eastAsia="en-US"/>
              </w:rPr>
              <w:t xml:space="preserve"> recommendation to use K</w:t>
            </w:r>
            <w:r w:rsidRPr="008E4932">
              <w:rPr>
                <w:rFonts w:eastAsia="Calibri"/>
                <w:color w:val="000000"/>
                <w:vertAlign w:val="subscript"/>
                <w:lang w:val="en-US" w:eastAsia="en-US"/>
              </w:rPr>
              <w:t>i</w:t>
            </w:r>
            <w:r w:rsidRPr="008E4932">
              <w:rPr>
                <w:rFonts w:eastAsia="Calibri"/>
                <w:color w:val="000000"/>
                <w:lang w:val="en-US" w:eastAsia="en-US"/>
              </w:rPr>
              <w:t xml:space="preserve"> values; IC</w:t>
            </w:r>
            <w:r w:rsidRPr="008E4932">
              <w:rPr>
                <w:rFonts w:eastAsia="Calibri"/>
                <w:color w:val="000000"/>
                <w:vertAlign w:val="subscript"/>
                <w:lang w:val="en-US" w:eastAsia="en-US"/>
              </w:rPr>
              <w:t>50</w:t>
            </w:r>
            <w:r w:rsidRPr="008E4932">
              <w:rPr>
                <w:rFonts w:eastAsia="Calibri"/>
                <w:color w:val="000000"/>
                <w:lang w:val="en-US" w:eastAsia="en-US"/>
              </w:rPr>
              <w:t xml:space="preserve"> is more readily determined and values are similar when the probe substrate is at a concentration well below the K</w:t>
            </w:r>
            <w:r w:rsidRPr="008E4932">
              <w:rPr>
                <w:rFonts w:eastAsia="Calibri"/>
                <w:color w:val="000000"/>
                <w:vertAlign w:val="subscript"/>
                <w:lang w:val="en-US" w:eastAsia="en-US"/>
              </w:rPr>
              <w:t>m,</w:t>
            </w:r>
            <w:r w:rsidRPr="008E4932">
              <w:rPr>
                <w:rFonts w:eastAsia="Calibri"/>
                <w:color w:val="000000"/>
                <w:lang w:val="en-US" w:eastAsia="en-US"/>
              </w:rPr>
              <w:t xml:space="preserve"> as per the Cheng-</w:t>
            </w:r>
            <w:proofErr w:type="spellStart"/>
            <w:r w:rsidRPr="008E4932">
              <w:rPr>
                <w:rFonts w:eastAsia="Calibri"/>
                <w:color w:val="000000"/>
                <w:lang w:val="en-US" w:eastAsia="en-US"/>
              </w:rPr>
              <w:t>Prusoff</w:t>
            </w:r>
            <w:proofErr w:type="spellEnd"/>
            <w:r w:rsidRPr="008E4932">
              <w:rPr>
                <w:rFonts w:eastAsia="Calibri"/>
                <w:color w:val="000000"/>
                <w:lang w:val="en-US" w:eastAsia="en-US"/>
              </w:rPr>
              <w:t xml:space="preserve"> equation (</w:t>
            </w:r>
            <w:r w:rsidRPr="008E4932">
              <w:rPr>
                <w:rFonts w:eastAsia="Calibri"/>
                <w:bCs/>
                <w:color w:val="000000"/>
                <w:lang w:val="pl-PL" w:eastAsia="en-US"/>
              </w:rPr>
              <w:t>K</w:t>
            </w:r>
            <w:r w:rsidRPr="008E4932">
              <w:rPr>
                <w:rFonts w:eastAsia="Calibri"/>
                <w:bCs/>
                <w:color w:val="000000"/>
                <w:vertAlign w:val="subscript"/>
                <w:lang w:val="pl-PL" w:eastAsia="en-US"/>
              </w:rPr>
              <w:t>i</w:t>
            </w:r>
            <w:r w:rsidRPr="008E4932">
              <w:rPr>
                <w:rFonts w:eastAsia="Calibri"/>
                <w:bCs/>
                <w:color w:val="000000"/>
                <w:lang w:val="pl-PL" w:eastAsia="en-US"/>
              </w:rPr>
              <w:t xml:space="preserve"> = IC</w:t>
            </w:r>
            <w:r w:rsidRPr="008E4932">
              <w:rPr>
                <w:rFonts w:eastAsia="Calibri"/>
                <w:bCs/>
                <w:color w:val="000000"/>
                <w:vertAlign w:val="subscript"/>
                <w:lang w:val="pl-PL" w:eastAsia="en-US"/>
              </w:rPr>
              <w:t>50</w:t>
            </w:r>
            <w:r w:rsidRPr="008E4932">
              <w:rPr>
                <w:rFonts w:eastAsia="Calibri"/>
                <w:bCs/>
                <w:color w:val="000000"/>
                <w:lang w:val="pl-PL" w:eastAsia="en-US"/>
              </w:rPr>
              <w:t>/(1+[S]/K</w:t>
            </w:r>
            <w:r w:rsidRPr="008E4932">
              <w:rPr>
                <w:rFonts w:eastAsia="Calibri"/>
                <w:bCs/>
                <w:color w:val="000000"/>
                <w:vertAlign w:val="subscript"/>
                <w:lang w:val="pl-PL" w:eastAsia="en-US"/>
              </w:rPr>
              <w:t>m</w:t>
            </w:r>
            <w:r w:rsidRPr="008E4932">
              <w:rPr>
                <w:rFonts w:eastAsia="Calibri"/>
                <w:bCs/>
                <w:color w:val="000000"/>
                <w:lang w:val="pl-PL" w:eastAsia="en-US"/>
              </w:rPr>
              <w:t xml:space="preserve">) (Brouwer et al, </w:t>
            </w:r>
            <w:proofErr w:type="spellStart"/>
            <w:r w:rsidRPr="008E4932">
              <w:rPr>
                <w:rFonts w:cs="Arial"/>
              </w:rPr>
              <w:t>Clin</w:t>
            </w:r>
            <w:proofErr w:type="spellEnd"/>
            <w:r w:rsidRPr="008E4932">
              <w:rPr>
                <w:rFonts w:cs="Arial"/>
              </w:rPr>
              <w:t xml:space="preserve"> </w:t>
            </w:r>
            <w:proofErr w:type="spellStart"/>
            <w:r w:rsidRPr="008E4932">
              <w:rPr>
                <w:rFonts w:cs="Arial"/>
              </w:rPr>
              <w:t>Pharmacol</w:t>
            </w:r>
            <w:proofErr w:type="spellEnd"/>
            <w:r w:rsidRPr="008E4932">
              <w:rPr>
                <w:rFonts w:cs="Arial"/>
              </w:rPr>
              <w:t xml:space="preserve"> </w:t>
            </w:r>
            <w:proofErr w:type="spellStart"/>
            <w:r w:rsidRPr="008E4932">
              <w:rPr>
                <w:rFonts w:cs="Arial"/>
              </w:rPr>
              <w:t>Ther</w:t>
            </w:r>
            <w:proofErr w:type="spellEnd"/>
            <w:r w:rsidRPr="008E4932">
              <w:rPr>
                <w:rFonts w:cs="Arial"/>
              </w:rPr>
              <w:t>. 2013;94(3):412)</w:t>
            </w:r>
            <w:r w:rsidRPr="008E4932">
              <w:rPr>
                <w:rFonts w:eastAsia="Calibri"/>
                <w:color w:val="000000"/>
                <w:lang w:val="en-US" w:eastAsia="en-US"/>
              </w:rPr>
              <w:t xml:space="preserve">. </w:t>
            </w:r>
          </w:p>
          <w:p w14:paraId="4676B2E1" w14:textId="77777777" w:rsidR="002F6625" w:rsidRPr="008E4932" w:rsidRDefault="002F6625" w:rsidP="00924E4B">
            <w:pPr>
              <w:autoSpaceDE w:val="0"/>
              <w:autoSpaceDN w:val="0"/>
              <w:adjustRightInd w:val="0"/>
              <w:rPr>
                <w:rFonts w:eastAsia="Calibri"/>
                <w:color w:val="000000"/>
                <w:lang w:val="en-US" w:eastAsia="en-US"/>
              </w:rPr>
            </w:pPr>
            <w:r w:rsidRPr="008E4932">
              <w:rPr>
                <w:rFonts w:eastAsia="Calibri"/>
                <w:color w:val="000000"/>
                <w:lang w:val="en-US" w:eastAsia="en-US"/>
              </w:rPr>
              <w:t xml:space="preserve"> </w:t>
            </w:r>
          </w:p>
          <w:p w14:paraId="03CCE945" w14:textId="77777777" w:rsidR="002F6625" w:rsidRPr="008E4932" w:rsidRDefault="002F6625" w:rsidP="00924E4B">
            <w:pPr>
              <w:pStyle w:val="TabletextrowsAgency"/>
              <w:spacing w:line="240" w:lineRule="auto"/>
              <w:rPr>
                <w:b/>
              </w:rPr>
            </w:pPr>
          </w:p>
          <w:p w14:paraId="671DABDE" w14:textId="78575F80" w:rsidR="002F6625" w:rsidRPr="008E4932" w:rsidRDefault="002F6625" w:rsidP="00924E4B">
            <w:pPr>
              <w:pStyle w:val="TabletextrowsAgency"/>
              <w:spacing w:line="240" w:lineRule="auto"/>
              <w:rPr>
                <w:b/>
              </w:rPr>
            </w:pPr>
            <w:r w:rsidRPr="008E4932">
              <w:rPr>
                <w:b/>
              </w:rPr>
              <w:t>Proposed change (if any):</w:t>
            </w:r>
            <w:r w:rsidRPr="008E4932">
              <w:t xml:space="preserve">  In the revised draft guideline, please consider replacing Ki determination for transporters </w:t>
            </w:r>
            <w:proofErr w:type="gramStart"/>
            <w:r w:rsidRPr="008E4932">
              <w:t>with  IC50</w:t>
            </w:r>
            <w:proofErr w:type="gramEnd"/>
            <w:r w:rsidRPr="008E4932">
              <w:t xml:space="preserve"> </w:t>
            </w:r>
          </w:p>
          <w:p w14:paraId="61A55A08" w14:textId="6FFB2347" w:rsidR="002F6625" w:rsidRPr="008E4932" w:rsidRDefault="002F6625" w:rsidP="00924E4B">
            <w:pPr>
              <w:pStyle w:val="TabletextrowsAgency"/>
              <w:spacing w:line="240" w:lineRule="auto"/>
              <w:rPr>
                <w:b/>
              </w:rPr>
            </w:pPr>
          </w:p>
        </w:tc>
        <w:tc>
          <w:tcPr>
            <w:tcW w:w="1537" w:type="pct"/>
            <w:shd w:val="clear" w:color="auto" w:fill="E1E3F2"/>
          </w:tcPr>
          <w:p w14:paraId="1F7BC6D7" w14:textId="77777777" w:rsidR="002F6625" w:rsidRPr="008E4932" w:rsidRDefault="002F6625" w:rsidP="00A20143">
            <w:pPr>
              <w:pStyle w:val="TabletextrowsAgency"/>
            </w:pPr>
          </w:p>
        </w:tc>
      </w:tr>
      <w:tr w:rsidR="002F6625" w14:paraId="78AE687D" w14:textId="77777777" w:rsidTr="00CB22FF">
        <w:tc>
          <w:tcPr>
            <w:tcW w:w="756" w:type="pct"/>
            <w:shd w:val="clear" w:color="auto" w:fill="E1E3F2"/>
          </w:tcPr>
          <w:p w14:paraId="2FB7685F" w14:textId="77777777" w:rsidR="002F6625" w:rsidRPr="008E4932" w:rsidRDefault="002F6625" w:rsidP="002F6625">
            <w:pPr>
              <w:pStyle w:val="TabletextrowsAgency"/>
            </w:pPr>
            <w:r w:rsidRPr="008E4932">
              <w:lastRenderedPageBreak/>
              <w:t>Line 38-39</w:t>
            </w:r>
          </w:p>
          <w:p w14:paraId="2A2BBE6F" w14:textId="77777777" w:rsidR="002F6625" w:rsidRPr="008E4932" w:rsidRDefault="002F6625" w:rsidP="002F6625">
            <w:pPr>
              <w:pStyle w:val="Default"/>
              <w:rPr>
                <w:sz w:val="18"/>
                <w:szCs w:val="18"/>
              </w:rPr>
            </w:pPr>
          </w:p>
          <w:p w14:paraId="6B356B75" w14:textId="77777777" w:rsidR="002F6625" w:rsidRPr="008E4932" w:rsidRDefault="002F6625" w:rsidP="002F6625">
            <w:pPr>
              <w:pStyle w:val="Default"/>
              <w:rPr>
                <w:sz w:val="18"/>
                <w:szCs w:val="18"/>
              </w:rPr>
            </w:pPr>
            <w:r w:rsidRPr="008E4932">
              <w:rPr>
                <w:sz w:val="18"/>
                <w:szCs w:val="18"/>
              </w:rPr>
              <w:t>(The need to know whether the (unbound) target concentration was maintained in an in vitro system during the incubations)</w:t>
            </w:r>
          </w:p>
          <w:p w14:paraId="0247D653" w14:textId="015D0009" w:rsidR="002F6625" w:rsidRPr="008E4932" w:rsidRDefault="002F6625" w:rsidP="00A20143">
            <w:pPr>
              <w:pStyle w:val="TabletextrowsAgency"/>
            </w:pPr>
          </w:p>
        </w:tc>
        <w:tc>
          <w:tcPr>
            <w:tcW w:w="701" w:type="pct"/>
            <w:shd w:val="clear" w:color="auto" w:fill="E1E3F2"/>
          </w:tcPr>
          <w:p w14:paraId="18F5E052" w14:textId="67D70B65" w:rsidR="002F6625" w:rsidRPr="008E4932" w:rsidRDefault="002F6625" w:rsidP="00A20143">
            <w:pPr>
              <w:pStyle w:val="TabletextrowsAgency"/>
              <w:rPr>
                <w:b/>
                <w:highlight w:val="green"/>
              </w:rPr>
            </w:pPr>
          </w:p>
        </w:tc>
        <w:tc>
          <w:tcPr>
            <w:tcW w:w="2006" w:type="pct"/>
            <w:shd w:val="clear" w:color="auto" w:fill="E1E3F2"/>
          </w:tcPr>
          <w:p w14:paraId="66D668A8" w14:textId="77777777" w:rsidR="002F6625" w:rsidRPr="008E4932" w:rsidRDefault="002F6625" w:rsidP="00BE7003">
            <w:pPr>
              <w:pStyle w:val="TabletextrowsAgency"/>
              <w:spacing w:line="240" w:lineRule="auto"/>
              <w:rPr>
                <w:b/>
              </w:rPr>
            </w:pPr>
            <w:r w:rsidRPr="008E4932">
              <w:rPr>
                <w:b/>
              </w:rPr>
              <w:t xml:space="preserve">Comment:  </w:t>
            </w:r>
          </w:p>
          <w:p w14:paraId="1AF9F55F" w14:textId="77777777" w:rsidR="002F6625" w:rsidRPr="008E4932" w:rsidRDefault="002F6625" w:rsidP="00BE7003">
            <w:pPr>
              <w:pStyle w:val="TabletextrowsAgency"/>
              <w:spacing w:line="240" w:lineRule="auto"/>
            </w:pPr>
          </w:p>
          <w:p w14:paraId="14CC3BA8" w14:textId="77777777" w:rsidR="002F6625" w:rsidRPr="008E4932" w:rsidRDefault="002F6625" w:rsidP="001A3C22">
            <w:pPr>
              <w:pStyle w:val="TabletextrowsAgency"/>
              <w:spacing w:line="240" w:lineRule="auto"/>
            </w:pPr>
            <w:r w:rsidRPr="008E4932">
              <w:t xml:space="preserve">We believe it is important for the sponsor to have a good understanding for each in vitro assay whether the compound stability/physicochemical properties (e.g. metabolism, solubility, non-specific binding) will have any meaningful impact on data interpretation.  </w:t>
            </w:r>
          </w:p>
          <w:p w14:paraId="1E07A6E3" w14:textId="77777777" w:rsidR="002F6625" w:rsidRPr="008E4932" w:rsidRDefault="002F6625" w:rsidP="001A3C22">
            <w:pPr>
              <w:autoSpaceDE w:val="0"/>
              <w:autoSpaceDN w:val="0"/>
              <w:adjustRightInd w:val="0"/>
              <w:spacing w:after="146"/>
              <w:rPr>
                <w:rFonts w:eastAsia="Times New Roman"/>
              </w:rPr>
            </w:pPr>
          </w:p>
          <w:p w14:paraId="287F504B" w14:textId="014CC858" w:rsidR="002F6625" w:rsidRPr="008E4932" w:rsidRDefault="002F6625" w:rsidP="001A3C22">
            <w:pPr>
              <w:autoSpaceDE w:val="0"/>
              <w:autoSpaceDN w:val="0"/>
              <w:adjustRightInd w:val="0"/>
              <w:spacing w:after="146"/>
              <w:rPr>
                <w:rFonts w:eastAsia="Times New Roman"/>
              </w:rPr>
            </w:pPr>
            <w:r w:rsidRPr="008E4932">
              <w:rPr>
                <w:rFonts w:eastAsia="Times New Roman"/>
              </w:rPr>
              <w:t>We do however</w:t>
            </w:r>
            <w:r w:rsidRPr="008E4932">
              <w:rPr>
                <w:rFonts w:eastAsia="Calibri"/>
                <w:color w:val="000000"/>
                <w:lang w:val="en-US" w:eastAsia="en-US"/>
              </w:rPr>
              <w:t xml:space="preserve"> welcome further discussion on this important topic </w:t>
            </w:r>
            <w:r w:rsidR="00564CAB" w:rsidRPr="008E4932">
              <w:rPr>
                <w:rFonts w:eastAsia="Calibri"/>
                <w:color w:val="000000"/>
                <w:lang w:val="en-US" w:eastAsia="en-US"/>
              </w:rPr>
              <w:t>as experience</w:t>
            </w:r>
            <w:r w:rsidRPr="008E4932">
              <w:rPr>
                <w:rFonts w:eastAsia="Calibri"/>
                <w:color w:val="000000"/>
                <w:lang w:val="en-US" w:eastAsia="en-US"/>
              </w:rPr>
              <w:t xml:space="preserve"> demonstrates that many NCEs are poorly soluble in </w:t>
            </w:r>
            <w:r w:rsidRPr="008E4932">
              <w:rPr>
                <w:rFonts w:eastAsia="Calibri"/>
                <w:i/>
                <w:color w:val="000000"/>
                <w:lang w:val="en-US" w:eastAsia="en-US"/>
              </w:rPr>
              <w:t>in vitro</w:t>
            </w:r>
            <w:r w:rsidRPr="008E4932">
              <w:rPr>
                <w:rFonts w:eastAsia="Calibri"/>
                <w:color w:val="000000"/>
                <w:lang w:val="en-US" w:eastAsia="en-US"/>
              </w:rPr>
              <w:t xml:space="preserve"> assay buffers and/or have high levels of non-specific binding to the cells/cell fractions/assay plates.  </w:t>
            </w:r>
          </w:p>
          <w:p w14:paraId="1D710B53" w14:textId="77777777" w:rsidR="002F6625" w:rsidRPr="008E4932" w:rsidRDefault="002F6625" w:rsidP="00BE7003">
            <w:pPr>
              <w:pStyle w:val="TabletextrowsAgency"/>
              <w:spacing w:line="240" w:lineRule="auto"/>
            </w:pPr>
          </w:p>
          <w:p w14:paraId="4A79E1D4" w14:textId="77777777" w:rsidR="002F6625" w:rsidRPr="008E4932" w:rsidRDefault="002F6625" w:rsidP="00BE7003">
            <w:pPr>
              <w:pStyle w:val="TabletextrowsAgency"/>
              <w:spacing w:line="240" w:lineRule="auto"/>
            </w:pPr>
            <w:r w:rsidRPr="008E4932">
              <w:lastRenderedPageBreak/>
              <w:t>Particularly for DDI studies using HLM, fu</w:t>
            </w:r>
            <w:r w:rsidRPr="008E4932">
              <w:rPr>
                <w:vertAlign w:val="subscript"/>
              </w:rPr>
              <w:t>mic</w:t>
            </w:r>
            <w:r w:rsidRPr="008E4932">
              <w:t xml:space="preserve"> can be measured.  </w:t>
            </w:r>
          </w:p>
          <w:p w14:paraId="40D951F7" w14:textId="77777777" w:rsidR="002F6625" w:rsidRPr="008E4932" w:rsidRDefault="002F6625" w:rsidP="00BE7003">
            <w:pPr>
              <w:pStyle w:val="TabletextrowsAgency"/>
              <w:spacing w:line="240" w:lineRule="auto"/>
            </w:pPr>
            <w:r w:rsidRPr="008E4932">
              <w:t>It should be expected that the Ki values obtained from this system are unbound values; otherwise the DDI could be under-predicted.  In addition, a sufficient percentage of the initial test inhibitor compound concentration should be present at the end of the incubation period to ensure appropriate exposure of the inhibitor,</w:t>
            </w:r>
          </w:p>
          <w:p w14:paraId="6C2A434D" w14:textId="77777777" w:rsidR="002F6625" w:rsidRPr="008E4932" w:rsidRDefault="002F6625" w:rsidP="00BE7003">
            <w:pPr>
              <w:pStyle w:val="TabletextrowsAgency"/>
              <w:spacing w:line="240" w:lineRule="auto"/>
            </w:pPr>
          </w:p>
          <w:p w14:paraId="2BAB616D" w14:textId="2C64C142" w:rsidR="002F6625" w:rsidRPr="008E4932" w:rsidRDefault="002F6625" w:rsidP="00BE7003">
            <w:pPr>
              <w:pStyle w:val="TabletextrowsAgency"/>
              <w:spacing w:line="240" w:lineRule="auto"/>
              <w:rPr>
                <w:b/>
              </w:rPr>
            </w:pPr>
            <w:r w:rsidRPr="008E4932">
              <w:t>For in vitro induction studies, it is reasonable to monitor the amount of test drug in the media to ensure adequate time of cells exposed to a particular concentration of the drug. In turn, one may be able to reference previous metabolic stability assessments from pooled human hepatocytes to assess the amount of test compound likely to be remaining over a 24h period.</w:t>
            </w:r>
          </w:p>
        </w:tc>
        <w:tc>
          <w:tcPr>
            <w:tcW w:w="1537" w:type="pct"/>
            <w:shd w:val="clear" w:color="auto" w:fill="E1E3F2"/>
          </w:tcPr>
          <w:p w14:paraId="68C56B33" w14:textId="77777777" w:rsidR="002F6625" w:rsidRPr="008E4932" w:rsidRDefault="002F6625" w:rsidP="00A20143">
            <w:pPr>
              <w:pStyle w:val="TabletextrowsAgency"/>
            </w:pPr>
          </w:p>
        </w:tc>
      </w:tr>
      <w:tr w:rsidR="002F6625" w14:paraId="6CE57FCC" w14:textId="77777777" w:rsidTr="00CB22FF">
        <w:tc>
          <w:tcPr>
            <w:tcW w:w="756" w:type="pct"/>
            <w:shd w:val="clear" w:color="auto" w:fill="E1E3F2"/>
          </w:tcPr>
          <w:p w14:paraId="0C73A818" w14:textId="77777777" w:rsidR="002F6625" w:rsidRPr="008E4932" w:rsidRDefault="002F6625" w:rsidP="00E844AB">
            <w:pPr>
              <w:pStyle w:val="TabletextrowsAgency"/>
            </w:pPr>
            <w:r w:rsidRPr="008E4932">
              <w:lastRenderedPageBreak/>
              <w:t>Line 40</w:t>
            </w:r>
          </w:p>
          <w:p w14:paraId="5E948306" w14:textId="77777777" w:rsidR="002F6625" w:rsidRPr="008E4932" w:rsidRDefault="002F6625" w:rsidP="00E844AB">
            <w:pPr>
              <w:pStyle w:val="TabletextrowsAgency"/>
            </w:pPr>
          </w:p>
          <w:p w14:paraId="6CE57FC5" w14:textId="027357EC" w:rsidR="002F6625" w:rsidRPr="008E4932" w:rsidRDefault="002F6625" w:rsidP="00E844AB">
            <w:pPr>
              <w:pStyle w:val="TabletextrowsAgency"/>
            </w:pPr>
            <w:r w:rsidRPr="008E4932">
              <w:t>(The use of Bile Salt Export Pump (BSEP) inhibition data).</w:t>
            </w:r>
          </w:p>
        </w:tc>
        <w:tc>
          <w:tcPr>
            <w:tcW w:w="701" w:type="pct"/>
            <w:shd w:val="clear" w:color="auto" w:fill="E1E3F2"/>
          </w:tcPr>
          <w:p w14:paraId="6CE57FC6" w14:textId="44435459" w:rsidR="002F6625" w:rsidRPr="008E4932" w:rsidRDefault="002F6625" w:rsidP="00A20143">
            <w:pPr>
              <w:pStyle w:val="TabletextrowsAgency"/>
            </w:pPr>
          </w:p>
        </w:tc>
        <w:tc>
          <w:tcPr>
            <w:tcW w:w="2006" w:type="pct"/>
            <w:shd w:val="clear" w:color="auto" w:fill="E1E3F2"/>
          </w:tcPr>
          <w:p w14:paraId="3AEF51B7" w14:textId="77777777" w:rsidR="002F6625" w:rsidRPr="008E4932" w:rsidRDefault="002F6625" w:rsidP="000234F7">
            <w:pPr>
              <w:pStyle w:val="TabletextrowsAgency"/>
              <w:spacing w:line="240" w:lineRule="auto"/>
            </w:pPr>
            <w:r w:rsidRPr="008E4932">
              <w:rPr>
                <w:b/>
              </w:rPr>
              <w:t>Comment</w:t>
            </w:r>
            <w:r w:rsidRPr="008E4932">
              <w:t>:</w:t>
            </w:r>
          </w:p>
          <w:p w14:paraId="552015FD" w14:textId="77777777" w:rsidR="002F6625" w:rsidRPr="008E4932" w:rsidRDefault="002F6625" w:rsidP="000234F7">
            <w:pPr>
              <w:pStyle w:val="TabletextrowsAgency"/>
              <w:spacing w:line="240" w:lineRule="auto"/>
            </w:pPr>
          </w:p>
          <w:p w14:paraId="02E1D3EF" w14:textId="4832D163" w:rsidR="002F6625" w:rsidRPr="008E4932" w:rsidRDefault="002F6625" w:rsidP="001A3C22">
            <w:pPr>
              <w:rPr>
                <w:rFonts w:eastAsia="Calibri" w:cs="Times New Roman"/>
              </w:rPr>
            </w:pPr>
            <w:r w:rsidRPr="008E4932">
              <w:rPr>
                <w:rFonts w:eastAsia="Calibri" w:cs="Times New Roman"/>
              </w:rPr>
              <w:t>We are in agreement with recommendations by the International Transporter Consortium that measuring inhibition of BSEP is useful for compounds that cause cholestasis there is an association between drug-induced BSEP inhibition and liver injury in humans, causality has not been well established (</w:t>
            </w:r>
            <w:proofErr w:type="spellStart"/>
            <w:r w:rsidRPr="008E4932">
              <w:rPr>
                <w:rFonts w:eastAsia="Calibri" w:cs="Times New Roman"/>
              </w:rPr>
              <w:t>Hillgren</w:t>
            </w:r>
            <w:proofErr w:type="spellEnd"/>
            <w:r w:rsidRPr="008E4932">
              <w:rPr>
                <w:rFonts w:eastAsia="Calibri" w:cs="Times New Roman"/>
              </w:rPr>
              <w:t xml:space="preserve"> et al. </w:t>
            </w:r>
            <w:proofErr w:type="spellStart"/>
            <w:r w:rsidRPr="008E4932">
              <w:rPr>
                <w:rFonts w:eastAsia="Calibri" w:cs="Times New Roman"/>
              </w:rPr>
              <w:t>Clin</w:t>
            </w:r>
            <w:proofErr w:type="spellEnd"/>
            <w:r w:rsidRPr="008E4932">
              <w:rPr>
                <w:rFonts w:eastAsia="Calibri" w:cs="Times New Roman"/>
              </w:rPr>
              <w:t xml:space="preserve"> </w:t>
            </w:r>
            <w:proofErr w:type="spellStart"/>
            <w:r w:rsidRPr="008E4932">
              <w:rPr>
                <w:rFonts w:eastAsia="Calibri" w:cs="Times New Roman"/>
              </w:rPr>
              <w:t>Pharmacol</w:t>
            </w:r>
            <w:proofErr w:type="spellEnd"/>
            <w:r w:rsidRPr="008E4932">
              <w:rPr>
                <w:rFonts w:eastAsia="Calibri" w:cs="Times New Roman"/>
              </w:rPr>
              <w:t xml:space="preserve"> </w:t>
            </w:r>
            <w:proofErr w:type="spellStart"/>
            <w:r w:rsidRPr="008E4932">
              <w:rPr>
                <w:rFonts w:eastAsia="Calibri" w:cs="Times New Roman"/>
              </w:rPr>
              <w:t>Ther</w:t>
            </w:r>
            <w:proofErr w:type="spellEnd"/>
            <w:r w:rsidRPr="008E4932">
              <w:rPr>
                <w:rFonts w:eastAsia="Calibri" w:cs="Times New Roman"/>
              </w:rPr>
              <w:t>. 2013. 94:52–63</w:t>
            </w:r>
            <w:proofErr w:type="gramStart"/>
            <w:r w:rsidRPr="008E4932">
              <w:rPr>
                <w:rFonts w:eastAsia="Calibri" w:cs="Times New Roman"/>
              </w:rPr>
              <w:t>)  However</w:t>
            </w:r>
            <w:proofErr w:type="gramEnd"/>
            <w:r w:rsidRPr="008E4932">
              <w:rPr>
                <w:rFonts w:eastAsia="Calibri" w:cs="Times New Roman"/>
              </w:rPr>
              <w:t xml:space="preserve">, while there is an association between drug-induced BSEP inhibition and liver injury in humans, causality has not been well established; therefore, we consider that the recommendation to measure inhibition of BSEP for clinical candidates is premature, as and that additional data are needed before interpretation of data is feasible, as detailed below. </w:t>
            </w:r>
          </w:p>
          <w:p w14:paraId="2C8C31BF" w14:textId="77777777" w:rsidR="002F6625" w:rsidRPr="008E4932" w:rsidRDefault="002F6625" w:rsidP="001A3C22">
            <w:pPr>
              <w:rPr>
                <w:rFonts w:eastAsia="Calibri" w:cs="Times New Roman"/>
              </w:rPr>
            </w:pPr>
          </w:p>
          <w:p w14:paraId="195D2F87" w14:textId="77777777" w:rsidR="002F6625" w:rsidRPr="008E4932" w:rsidRDefault="002F6625" w:rsidP="001A3C22">
            <w:pPr>
              <w:rPr>
                <w:rFonts w:eastAsia="Calibri" w:cs="Times New Roman"/>
              </w:rPr>
            </w:pPr>
            <w:r w:rsidRPr="008E4932">
              <w:rPr>
                <w:rFonts w:eastAsia="Calibri" w:cs="Times New Roman"/>
              </w:rPr>
              <w:t xml:space="preserve">Evaluation of BSEP inhibition in membrane vesicles has yielded a high degree of false positives (Dawson et al., Drug </w:t>
            </w:r>
            <w:proofErr w:type="spellStart"/>
            <w:r w:rsidRPr="008E4932">
              <w:rPr>
                <w:rFonts w:eastAsia="Calibri" w:cs="Times New Roman"/>
              </w:rPr>
              <w:t>Metab</w:t>
            </w:r>
            <w:proofErr w:type="spellEnd"/>
            <w:r w:rsidRPr="008E4932">
              <w:rPr>
                <w:rFonts w:eastAsia="Calibri" w:cs="Times New Roman"/>
              </w:rPr>
              <w:t xml:space="preserve">. </w:t>
            </w:r>
            <w:proofErr w:type="spellStart"/>
            <w:r w:rsidRPr="008E4932">
              <w:rPr>
                <w:rFonts w:eastAsia="Calibri" w:cs="Times New Roman"/>
              </w:rPr>
              <w:t>Dispos</w:t>
            </w:r>
            <w:proofErr w:type="spellEnd"/>
            <w:r w:rsidRPr="008E4932">
              <w:rPr>
                <w:rFonts w:eastAsia="Calibri" w:cs="Times New Roman"/>
              </w:rPr>
              <w:t xml:space="preserve">. 2012. 40, 130–138, Morgan et al. </w:t>
            </w:r>
            <w:proofErr w:type="spellStart"/>
            <w:r w:rsidRPr="008E4932">
              <w:rPr>
                <w:rFonts w:eastAsia="Calibri" w:cs="Times New Roman"/>
              </w:rPr>
              <w:t>Toxicol</w:t>
            </w:r>
            <w:proofErr w:type="spellEnd"/>
            <w:r w:rsidRPr="008E4932">
              <w:rPr>
                <w:rFonts w:eastAsia="Calibri" w:cs="Times New Roman"/>
              </w:rPr>
              <w:t xml:space="preserve">. Sci. 2010. 118, 485–500) and thus further evaluation of </w:t>
            </w:r>
            <w:r w:rsidRPr="008E4932">
              <w:rPr>
                <w:rFonts w:eastAsia="Calibri" w:cs="Times New Roman"/>
              </w:rPr>
              <w:lastRenderedPageBreak/>
              <w:t xml:space="preserve">compounds predicted to inhibit BSEP in a hepatocyte based system is warranted. For instance, one company has identified dipyridamole as a potent inhibitor of human BSEP, but no inhibition of bile salt transport was observed in a </w:t>
            </w:r>
            <w:proofErr w:type="spellStart"/>
            <w:r w:rsidRPr="008E4932">
              <w:rPr>
                <w:rFonts w:eastAsia="Calibri" w:cs="Times New Roman"/>
              </w:rPr>
              <w:t>micropatterned</w:t>
            </w:r>
            <w:proofErr w:type="spellEnd"/>
            <w:r w:rsidRPr="008E4932">
              <w:rPr>
                <w:rFonts w:eastAsia="Calibri" w:cs="Times New Roman"/>
              </w:rPr>
              <w:t xml:space="preserve"> hepatocyte model. This discrepancy was likely explained by the rapid metabolism of dipyridamole to a glucuronide.  Additionally, there is no consensus on the relevant drug exposure parameter to use to put the in vitro inhibition data into context. The use of unbound liver inlet concentration (as calculated in </w:t>
            </w:r>
            <w:r w:rsidRPr="008E4932">
              <w:rPr>
                <w:rFonts w:eastAsia="Times New Roman"/>
              </w:rPr>
              <w:t xml:space="preserve">Hirano et al. DMD. 2006. 34, 1229-1236) </w:t>
            </w:r>
            <w:r w:rsidRPr="008E4932">
              <w:rPr>
                <w:rFonts w:eastAsia="Calibri" w:cs="Times New Roman"/>
              </w:rPr>
              <w:t xml:space="preserve">is appropriate for non-substrates of liver uptake transporters but unbound intracellular concentrations may need to be considered for substrates of liver uptake transporters. In addition, it remains unclear whether BSEP inhibition alone can cause cholestasis or whether </w:t>
            </w:r>
            <w:proofErr w:type="gramStart"/>
            <w:r w:rsidRPr="008E4932">
              <w:rPr>
                <w:rFonts w:eastAsia="Calibri" w:cs="Times New Roman"/>
              </w:rPr>
              <w:t>inhibition of other mechanisms are</w:t>
            </w:r>
            <w:proofErr w:type="gramEnd"/>
            <w:r w:rsidRPr="008E4932">
              <w:rPr>
                <w:rFonts w:eastAsia="Calibri" w:cs="Times New Roman"/>
              </w:rPr>
              <w:t xml:space="preserve"> needed to induce </w:t>
            </w:r>
            <w:proofErr w:type="spellStart"/>
            <w:r w:rsidRPr="008E4932">
              <w:rPr>
                <w:rFonts w:eastAsia="Calibri" w:cs="Times New Roman"/>
              </w:rPr>
              <w:t>cholestatic</w:t>
            </w:r>
            <w:proofErr w:type="spellEnd"/>
            <w:r w:rsidRPr="008E4932">
              <w:rPr>
                <w:rFonts w:eastAsia="Calibri" w:cs="Times New Roman"/>
              </w:rPr>
              <w:t xml:space="preserve"> liver injury (e.g. inhibition of basolateral efflux transporters such as MRP3/4 and OST</w:t>
            </w:r>
            <w:r w:rsidRPr="008E4932">
              <w:rPr>
                <w:rFonts w:eastAsia="Calibri" w:cs="Times New Roman"/>
              </w:rPr>
              <w:sym w:font="Symbol" w:char="F061"/>
            </w:r>
            <w:r w:rsidRPr="008E4932">
              <w:rPr>
                <w:rFonts w:eastAsia="Calibri" w:cs="Times New Roman"/>
              </w:rPr>
              <w:t>/</w:t>
            </w:r>
            <w:r w:rsidRPr="008E4932">
              <w:rPr>
                <w:rFonts w:eastAsia="Calibri" w:cs="Arial"/>
              </w:rPr>
              <w:t>β</w:t>
            </w:r>
            <w:r w:rsidRPr="008E4932">
              <w:rPr>
                <w:rFonts w:eastAsia="Calibri" w:cs="Times New Roman"/>
              </w:rPr>
              <w:t xml:space="preserve">, and FXR antagonism). </w:t>
            </w:r>
          </w:p>
          <w:p w14:paraId="26F50EEF" w14:textId="77777777" w:rsidR="002F6625" w:rsidRPr="008E4932" w:rsidRDefault="002F6625" w:rsidP="001A3C22">
            <w:pPr>
              <w:rPr>
                <w:rFonts w:eastAsia="Calibri" w:cs="Times New Roman"/>
              </w:rPr>
            </w:pPr>
          </w:p>
          <w:p w14:paraId="224AA5D7" w14:textId="77777777" w:rsidR="002F6625" w:rsidRPr="008E4932" w:rsidRDefault="002F6625" w:rsidP="001A3C22">
            <w:pPr>
              <w:rPr>
                <w:rFonts w:eastAsia="Calibri" w:cs="Times New Roman"/>
              </w:rPr>
            </w:pPr>
            <w:r w:rsidRPr="008E4932">
              <w:rPr>
                <w:rFonts w:eastAsia="Calibri" w:cs="Times New Roman"/>
              </w:rPr>
              <w:t xml:space="preserve">An in vivo assessment of BSEP inhibitors remains challenging as confounding factors (e.g. inhibition of bile salt uptake or bile salt synthesis) make data interpretation difficult if increases in plasma levels of bile salts are found. Further, there is no consensus on whether animal models can help to understand the risk for BSEP-mediated cholestasis nor is there an alignment on biomarkers to measure and how to translate the results obtained with these biomarkers to humans as there are species differences in bile salt composition and transporters (e.g. </w:t>
            </w:r>
            <w:proofErr w:type="spellStart"/>
            <w:r w:rsidRPr="008E4932">
              <w:rPr>
                <w:rFonts w:eastAsia="Calibri" w:cs="Times New Roman"/>
              </w:rPr>
              <w:t>OSTa</w:t>
            </w:r>
            <w:proofErr w:type="spellEnd"/>
            <w:r w:rsidRPr="008E4932">
              <w:rPr>
                <w:rFonts w:eastAsia="Calibri" w:cs="Times New Roman"/>
              </w:rPr>
              <w:t>/B is expressed in human but not in rat liver). In the case where a BSEP inhibitor would be tested in the clinic, there is no consensus on the appropriate study design and which biomarkers should be measured.</w:t>
            </w:r>
          </w:p>
          <w:p w14:paraId="04858BAB" w14:textId="77777777" w:rsidR="002F6625" w:rsidRPr="008E4932" w:rsidRDefault="002F6625" w:rsidP="000234F7">
            <w:pPr>
              <w:pStyle w:val="TabletextrowsAgency"/>
              <w:spacing w:line="240" w:lineRule="auto"/>
            </w:pPr>
          </w:p>
          <w:p w14:paraId="0359580F" w14:textId="77777777" w:rsidR="002F6625" w:rsidRPr="008E4932" w:rsidRDefault="002F6625" w:rsidP="001A3C22">
            <w:r w:rsidRPr="008E4932">
              <w:t xml:space="preserve">In the current guidance cut-off values for transporters and metabolic enzymes calculated as the ratio of the measured or </w:t>
            </w:r>
            <w:r w:rsidRPr="008E4932">
              <w:lastRenderedPageBreak/>
              <w:t xml:space="preserve">anticipated human plasma concentrations at a relevant clinical dose and the in vitro inhibition potential  (Ki) of a perpetrator drug. This approach follows the concept of the free-drug hypothesis, assuming complete and rapid equilibration of the unbound drug in plasma and in the target tissue. </w:t>
            </w:r>
          </w:p>
          <w:p w14:paraId="124BDC91" w14:textId="1593DF77" w:rsidR="002F6625" w:rsidRPr="008E4932" w:rsidRDefault="002F6625" w:rsidP="001A3C22">
            <w:pPr>
              <w:pStyle w:val="TabletextrowsAgency"/>
              <w:spacing w:line="240" w:lineRule="auto"/>
            </w:pPr>
            <w:r w:rsidRPr="008E4932">
              <w:t>However, emerging data reveal that liver-to-blood concentration ratio of the unbound drug (</w:t>
            </w:r>
            <w:proofErr w:type="spellStart"/>
            <w:r w:rsidRPr="008E4932">
              <w:t>Kp</w:t>
            </w:r>
            <w:proofErr w:type="gramStart"/>
            <w:r w:rsidRPr="008E4932">
              <w:t>,uu</w:t>
            </w:r>
            <w:proofErr w:type="spellEnd"/>
            <w:proofErr w:type="gramEnd"/>
            <w:r w:rsidRPr="008E4932">
              <w:t>) may significantly deviate from unity in organs with active metabolic and transport activity such as the liver. In a recent study the frequency of drug-induced cholestasis (DIC) was successfully estimated using unbound intrahepatic calculations and BSEP in vitro inhibition data (</w:t>
            </w:r>
            <w:proofErr w:type="spellStart"/>
            <w:r w:rsidRPr="008E4932">
              <w:t>Riede</w:t>
            </w:r>
            <w:proofErr w:type="spellEnd"/>
            <w:r w:rsidRPr="008E4932">
              <w:t xml:space="preserve"> et al, 2017. </w:t>
            </w:r>
            <w:r w:rsidRPr="008E4932">
              <w:rPr>
                <w:i/>
              </w:rPr>
              <w:t xml:space="preserve">Drug </w:t>
            </w:r>
            <w:proofErr w:type="spellStart"/>
            <w:r w:rsidRPr="008E4932">
              <w:rPr>
                <w:i/>
              </w:rPr>
              <w:t>Metab</w:t>
            </w:r>
            <w:proofErr w:type="spellEnd"/>
            <w:r w:rsidRPr="008E4932">
              <w:rPr>
                <w:i/>
              </w:rPr>
              <w:t xml:space="preserve"> Dispos</w:t>
            </w:r>
            <w:proofErr w:type="gramStart"/>
            <w:r w:rsidRPr="008E4932">
              <w:t>;45:523</w:t>
            </w:r>
            <w:proofErr w:type="gramEnd"/>
            <w:r w:rsidRPr="008E4932">
              <w:t xml:space="preserve">-531). Based on in vitro </w:t>
            </w:r>
            <w:proofErr w:type="spellStart"/>
            <w:r w:rsidRPr="008E4932">
              <w:t>Kp</w:t>
            </w:r>
            <w:proofErr w:type="gramStart"/>
            <w:r w:rsidRPr="008E4932">
              <w:t>,uu</w:t>
            </w:r>
            <w:proofErr w:type="spellEnd"/>
            <w:proofErr w:type="gramEnd"/>
            <w:r w:rsidRPr="008E4932">
              <w:t xml:space="preserve">, the unbound intracellular concentrations were up to 14-fold different compared to those unbound in the plasma. A clear separation of drugs, which are not implicated with </w:t>
            </w:r>
            <w:proofErr w:type="gramStart"/>
            <w:r w:rsidRPr="008E4932">
              <w:t>DIC</w:t>
            </w:r>
            <w:proofErr w:type="gramEnd"/>
            <w:r w:rsidRPr="008E4932">
              <w:t xml:space="preserve"> was observed for a cut-off of 500-fold (BSEP IC50 and unbound intrahepatic concentration). It is therefore recommended to perform risk assessments that take into consideration the unbound intracellular drug concentrations and to expand the datasets that are currently available in order to further refine the </w:t>
            </w:r>
            <w:proofErr w:type="spellStart"/>
            <w:r w:rsidRPr="008E4932">
              <w:t>cutoff</w:t>
            </w:r>
            <w:proofErr w:type="spellEnd"/>
            <w:r w:rsidRPr="008E4932">
              <w:t xml:space="preserve"> values.</w:t>
            </w:r>
          </w:p>
          <w:p w14:paraId="4248D489" w14:textId="7B355A11" w:rsidR="002F6625" w:rsidRPr="008E4932" w:rsidRDefault="002F6625" w:rsidP="001A3C22">
            <w:pPr>
              <w:pStyle w:val="TabletextrowsAgency"/>
              <w:spacing w:line="240" w:lineRule="auto"/>
            </w:pPr>
            <w:r w:rsidRPr="008E4932">
              <w:t>Overall, the clinical translation of in vitro BSEP inhibition has not been clearly established.  BSEP inhibition in vivo may not result in a direct translation to an increase in serum bile salts.  We recommend BSEP be deleted from the list of transporters to be investigated until such translation is well established and propose that the sponsor only study BSEP if there are liver safety signals.</w:t>
            </w:r>
          </w:p>
          <w:p w14:paraId="34B2969D" w14:textId="77777777" w:rsidR="002F6625" w:rsidRPr="008E4932" w:rsidRDefault="002F6625" w:rsidP="000234F7">
            <w:pPr>
              <w:pStyle w:val="TabletextrowsAgency"/>
              <w:spacing w:line="240" w:lineRule="auto"/>
            </w:pPr>
          </w:p>
          <w:p w14:paraId="6CE57FCA" w14:textId="77777777" w:rsidR="002F6625" w:rsidRPr="008E4932" w:rsidRDefault="002F6625" w:rsidP="00231FAC">
            <w:pPr>
              <w:pStyle w:val="TabletextrowsAgency"/>
              <w:spacing w:line="240" w:lineRule="auto"/>
            </w:pPr>
          </w:p>
        </w:tc>
        <w:tc>
          <w:tcPr>
            <w:tcW w:w="1537" w:type="pct"/>
            <w:shd w:val="clear" w:color="auto" w:fill="E1E3F2"/>
          </w:tcPr>
          <w:p w14:paraId="6CE57FCB" w14:textId="77777777" w:rsidR="002F6625" w:rsidRPr="008E4932" w:rsidRDefault="002F6625" w:rsidP="00A20143">
            <w:pPr>
              <w:pStyle w:val="TabletextrowsAgency"/>
            </w:pPr>
          </w:p>
        </w:tc>
      </w:tr>
      <w:tr w:rsidR="002F6625" w14:paraId="72B99C02" w14:textId="77777777" w:rsidTr="00CB22FF">
        <w:tc>
          <w:tcPr>
            <w:tcW w:w="756" w:type="pct"/>
            <w:shd w:val="clear" w:color="auto" w:fill="E1E3F2"/>
          </w:tcPr>
          <w:p w14:paraId="5E66CA0C" w14:textId="77777777" w:rsidR="002F6625" w:rsidRPr="008E4932" w:rsidRDefault="002F6625" w:rsidP="00F32648">
            <w:pPr>
              <w:pStyle w:val="Default"/>
              <w:rPr>
                <w:sz w:val="18"/>
                <w:szCs w:val="18"/>
              </w:rPr>
            </w:pPr>
            <w:r w:rsidRPr="008E4932">
              <w:rPr>
                <w:sz w:val="18"/>
                <w:szCs w:val="18"/>
              </w:rPr>
              <w:lastRenderedPageBreak/>
              <w:t xml:space="preserve">Line 41 </w:t>
            </w:r>
          </w:p>
          <w:p w14:paraId="28621D1B" w14:textId="77777777" w:rsidR="002F6625" w:rsidRPr="008E4932" w:rsidRDefault="002F6625" w:rsidP="00F32648">
            <w:pPr>
              <w:pStyle w:val="Default"/>
              <w:rPr>
                <w:sz w:val="18"/>
                <w:szCs w:val="18"/>
              </w:rPr>
            </w:pPr>
            <w:r w:rsidRPr="008E4932">
              <w:rPr>
                <w:sz w:val="18"/>
                <w:szCs w:val="18"/>
              </w:rPr>
              <w:t>(How to calculate the unbound inlet concentration).</w:t>
            </w:r>
          </w:p>
          <w:p w14:paraId="7F283B05" w14:textId="7D972688" w:rsidR="002F6625" w:rsidRPr="008E4932" w:rsidRDefault="002F6625" w:rsidP="00671C11">
            <w:pPr>
              <w:pStyle w:val="TabletextrowsAgency"/>
              <w:spacing w:line="240" w:lineRule="auto"/>
            </w:pPr>
          </w:p>
        </w:tc>
        <w:tc>
          <w:tcPr>
            <w:tcW w:w="701" w:type="pct"/>
            <w:shd w:val="clear" w:color="auto" w:fill="E1E3F2"/>
          </w:tcPr>
          <w:p w14:paraId="456D328A" w14:textId="76B02D7D" w:rsidR="002F6625" w:rsidRPr="008E4932" w:rsidRDefault="002F6625" w:rsidP="005E7780">
            <w:pPr>
              <w:pStyle w:val="TabletextrowsAgency"/>
              <w:spacing w:line="240" w:lineRule="auto"/>
              <w:rPr>
                <w:b/>
                <w:highlight w:val="green"/>
              </w:rPr>
            </w:pPr>
          </w:p>
        </w:tc>
        <w:tc>
          <w:tcPr>
            <w:tcW w:w="2006" w:type="pct"/>
            <w:shd w:val="clear" w:color="auto" w:fill="E1E3F2"/>
          </w:tcPr>
          <w:p w14:paraId="1F331605" w14:textId="77777777" w:rsidR="002F6625" w:rsidRPr="008E4932" w:rsidRDefault="002F6625" w:rsidP="009B1803">
            <w:pPr>
              <w:rPr>
                <w:rFonts w:eastAsia="Times New Roman"/>
                <w:lang w:val="en-US"/>
              </w:rPr>
            </w:pPr>
            <w:r w:rsidRPr="008E4932">
              <w:rPr>
                <w:b/>
              </w:rPr>
              <w:t>Comment:</w:t>
            </w:r>
            <w:r w:rsidRPr="008E4932">
              <w:rPr>
                <w:rFonts w:eastAsia="Times New Roman"/>
                <w:lang w:val="en-US"/>
              </w:rPr>
              <w:t xml:space="preserve">  The current approach to calculate </w:t>
            </w:r>
            <w:r w:rsidRPr="008E4932">
              <w:rPr>
                <w:rFonts w:eastAsia="Times New Roman"/>
              </w:rPr>
              <w:t xml:space="preserve">unbound inlet concentration </w:t>
            </w:r>
            <w:r w:rsidRPr="008E4932">
              <w:rPr>
                <w:rFonts w:eastAsia="Times New Roman"/>
                <w:lang w:val="en-US"/>
              </w:rPr>
              <w:t>(</w:t>
            </w:r>
            <w:r w:rsidRPr="008E4932">
              <w:rPr>
                <w:rFonts w:eastAsia="Times New Roman"/>
              </w:rPr>
              <w:t>Hirano et al. (DMD. 2006. 34, 1229-1236.)</w:t>
            </w:r>
            <w:r w:rsidRPr="008E4932">
              <w:rPr>
                <w:rFonts w:eastAsia="Times New Roman"/>
                <w:lang w:val="en-US"/>
              </w:rPr>
              <w:t xml:space="preserve"> is considered to be very conservative. </w:t>
            </w:r>
          </w:p>
          <w:p w14:paraId="05E08A8C" w14:textId="77777777" w:rsidR="002F6625" w:rsidRPr="008E4932" w:rsidRDefault="002F6625" w:rsidP="009B1803">
            <w:pPr>
              <w:rPr>
                <w:rFonts w:eastAsia="Calibri" w:cs="Calibri"/>
                <w:lang w:val="en" w:eastAsia="en-US"/>
              </w:rPr>
            </w:pPr>
          </w:p>
          <w:p w14:paraId="6A9A1BDB" w14:textId="77777777" w:rsidR="002F6625" w:rsidRPr="008E4932" w:rsidRDefault="002F6625" w:rsidP="005E7780">
            <w:pPr>
              <w:pStyle w:val="TabletextrowsAgency"/>
              <w:spacing w:line="240" w:lineRule="auto"/>
            </w:pPr>
            <w:r w:rsidRPr="008E4932">
              <w:lastRenderedPageBreak/>
              <w:t>The calculation of the unbound inlet concentration has been described in the following manuscript:</w:t>
            </w:r>
          </w:p>
          <w:p w14:paraId="352B99DE" w14:textId="77777777" w:rsidR="002F6625" w:rsidRPr="008E4932" w:rsidRDefault="002F6625" w:rsidP="005E7780">
            <w:pPr>
              <w:pStyle w:val="TabletextrowsAgency"/>
              <w:spacing w:line="240" w:lineRule="auto"/>
            </w:pPr>
            <w:r w:rsidRPr="008E4932">
              <w:t xml:space="preserve">Ito et al., (1998) </w:t>
            </w:r>
            <w:proofErr w:type="spellStart"/>
            <w:r w:rsidRPr="008E4932">
              <w:t>Pharmacol</w:t>
            </w:r>
            <w:proofErr w:type="spellEnd"/>
            <w:r w:rsidRPr="008E4932">
              <w:t xml:space="preserve"> Rev 50: 387-411 (Equation 22 in the publication)</w:t>
            </w:r>
          </w:p>
          <w:p w14:paraId="0F5C7FA8" w14:textId="77777777" w:rsidR="002F6625" w:rsidRPr="008E4932" w:rsidRDefault="002F6625" w:rsidP="009B1803">
            <w:pPr>
              <w:rPr>
                <w:rFonts w:eastAsia="Calibri" w:cs="Calibri"/>
                <w:lang w:val="en" w:eastAsia="en-US"/>
              </w:rPr>
            </w:pPr>
          </w:p>
          <w:p w14:paraId="0938BE90" w14:textId="4486B5CA" w:rsidR="002F6625" w:rsidRPr="008E4932" w:rsidRDefault="002F6625" w:rsidP="000A7FD5">
            <w:pPr>
              <w:pStyle w:val="TabletextrowsAgency"/>
              <w:spacing w:line="240" w:lineRule="auto"/>
              <w:rPr>
                <w:b/>
              </w:rPr>
            </w:pPr>
            <w:r w:rsidRPr="008E4932">
              <w:t>Proposed change (if any):</w:t>
            </w:r>
            <w:r w:rsidRPr="008E4932">
              <w:rPr>
                <w:lang w:val="en-US"/>
              </w:rPr>
              <w:t xml:space="preserve"> The use of measured or predicted </w:t>
            </w:r>
            <w:proofErr w:type="spellStart"/>
            <w:r w:rsidRPr="008E4932">
              <w:rPr>
                <w:lang w:val="en-US"/>
              </w:rPr>
              <w:t>Ka</w:t>
            </w:r>
            <w:proofErr w:type="spellEnd"/>
            <w:r w:rsidRPr="008E4932">
              <w:rPr>
                <w:lang w:val="en-US"/>
              </w:rPr>
              <w:t xml:space="preserve"> and </w:t>
            </w:r>
            <w:proofErr w:type="spellStart"/>
            <w:r w:rsidRPr="008E4932">
              <w:rPr>
                <w:lang w:val="en-US"/>
              </w:rPr>
              <w:t>FaFg</w:t>
            </w:r>
            <w:proofErr w:type="spellEnd"/>
            <w:r w:rsidRPr="008E4932">
              <w:rPr>
                <w:lang w:val="en-US"/>
              </w:rPr>
              <w:t xml:space="preserve"> should be considered for development compounds where human PK data exists. </w:t>
            </w:r>
          </w:p>
        </w:tc>
        <w:tc>
          <w:tcPr>
            <w:tcW w:w="1537" w:type="pct"/>
            <w:shd w:val="clear" w:color="auto" w:fill="E1E3F2"/>
          </w:tcPr>
          <w:p w14:paraId="60F35967" w14:textId="77777777" w:rsidR="002F6625" w:rsidRPr="008E4932" w:rsidRDefault="002F6625" w:rsidP="00A20143">
            <w:pPr>
              <w:pStyle w:val="TabletextrowsAgency"/>
            </w:pPr>
          </w:p>
        </w:tc>
      </w:tr>
      <w:tr w:rsidR="002F6625" w14:paraId="47F84E25" w14:textId="77777777" w:rsidTr="00CB22FF">
        <w:tc>
          <w:tcPr>
            <w:tcW w:w="756" w:type="pct"/>
            <w:shd w:val="clear" w:color="auto" w:fill="E1E3F2"/>
          </w:tcPr>
          <w:p w14:paraId="1FFE46B9" w14:textId="36A50B6A" w:rsidR="002F6625" w:rsidRPr="008E4932" w:rsidRDefault="002F6625" w:rsidP="00DE61C8">
            <w:pPr>
              <w:pStyle w:val="Default"/>
              <w:rPr>
                <w:sz w:val="18"/>
                <w:szCs w:val="18"/>
              </w:rPr>
            </w:pPr>
            <w:r w:rsidRPr="008E4932">
              <w:rPr>
                <w:sz w:val="18"/>
                <w:szCs w:val="18"/>
              </w:rPr>
              <w:lastRenderedPageBreak/>
              <w:t>(How to verify adequate sensitivity of the system for in vitro induction studies)</w:t>
            </w:r>
          </w:p>
        </w:tc>
        <w:tc>
          <w:tcPr>
            <w:tcW w:w="701" w:type="pct"/>
            <w:shd w:val="clear" w:color="auto" w:fill="E1E3F2"/>
          </w:tcPr>
          <w:p w14:paraId="78EBEE50" w14:textId="14B27E75" w:rsidR="002F6625" w:rsidRPr="008E4932" w:rsidRDefault="002F6625" w:rsidP="00A20143">
            <w:pPr>
              <w:pStyle w:val="TabletextrowsAgency"/>
              <w:rPr>
                <w:b/>
                <w:highlight w:val="green"/>
              </w:rPr>
            </w:pPr>
          </w:p>
        </w:tc>
        <w:tc>
          <w:tcPr>
            <w:tcW w:w="2006" w:type="pct"/>
            <w:shd w:val="clear" w:color="auto" w:fill="E1E3F2"/>
          </w:tcPr>
          <w:p w14:paraId="5D2242DC" w14:textId="77777777" w:rsidR="002F6625" w:rsidRPr="008E4932" w:rsidRDefault="002F6625" w:rsidP="009B1803">
            <w:pPr>
              <w:pStyle w:val="TabletextrowsAgency"/>
              <w:spacing w:line="240" w:lineRule="auto"/>
              <w:rPr>
                <w:b/>
              </w:rPr>
            </w:pPr>
            <w:r w:rsidRPr="008E4932">
              <w:rPr>
                <w:b/>
              </w:rPr>
              <w:t xml:space="preserve">Comment:  </w:t>
            </w:r>
          </w:p>
          <w:p w14:paraId="616797BA" w14:textId="77777777" w:rsidR="002F6625" w:rsidRPr="008E4932" w:rsidRDefault="002F6625" w:rsidP="009B1803">
            <w:pPr>
              <w:pStyle w:val="TabletextrowsAgency"/>
              <w:spacing w:line="240" w:lineRule="auto"/>
            </w:pPr>
          </w:p>
          <w:p w14:paraId="5E3498E7" w14:textId="207B6EC8" w:rsidR="002F6625" w:rsidRPr="008E4932" w:rsidRDefault="002F6625" w:rsidP="009B1803">
            <w:pPr>
              <w:pStyle w:val="TabletextrowsAgency"/>
              <w:spacing w:line="240" w:lineRule="auto"/>
            </w:pPr>
            <w:r w:rsidRPr="008E4932">
              <w:t>Variability in the in vitro induction response could preclude a 2-fold induction cut</w:t>
            </w:r>
            <w:r w:rsidR="00070A48" w:rsidRPr="008E4932">
              <w:t>-</w:t>
            </w:r>
            <w:r w:rsidRPr="008E4932">
              <w:t xml:space="preserve">off as indicative of a positive response.  </w:t>
            </w:r>
          </w:p>
          <w:p w14:paraId="3E8669C1" w14:textId="77777777" w:rsidR="002F6625" w:rsidRPr="008E4932" w:rsidRDefault="002F6625" w:rsidP="009B1803">
            <w:pPr>
              <w:pStyle w:val="TabletextrowsAgency"/>
              <w:spacing w:line="240" w:lineRule="auto"/>
            </w:pPr>
          </w:p>
          <w:p w14:paraId="0E225B5E" w14:textId="066BE098" w:rsidR="002F6625" w:rsidRPr="008E4932" w:rsidRDefault="002F6625" w:rsidP="009B1803">
            <w:pPr>
              <w:pStyle w:val="TabletextrowsAgency"/>
              <w:spacing w:line="240" w:lineRule="auto"/>
              <w:rPr>
                <w:b/>
              </w:rPr>
            </w:pPr>
            <w:r w:rsidRPr="008E4932">
              <w:t xml:space="preserve">The sensitivity of the in vitro induction study would be defined by the positive control inducers used at the concentration at the </w:t>
            </w:r>
            <w:proofErr w:type="spellStart"/>
            <w:r w:rsidRPr="008E4932">
              <w:t>Emax</w:t>
            </w:r>
            <w:proofErr w:type="spellEnd"/>
            <w:r w:rsidRPr="008E4932">
              <w:t xml:space="preserve"> for the particular enzyme being evaluated.  The positive control inducer should induce mRNA and activity at least ≥5-fold to capture an induction response within 40% of the positive control (i.e. 2-fold change by the test compound when positive control is at 5-fold).</w:t>
            </w:r>
          </w:p>
        </w:tc>
        <w:tc>
          <w:tcPr>
            <w:tcW w:w="1537" w:type="pct"/>
            <w:shd w:val="clear" w:color="auto" w:fill="E1E3F2"/>
          </w:tcPr>
          <w:p w14:paraId="5717D2A1" w14:textId="77777777" w:rsidR="002F6625" w:rsidRPr="008E4932" w:rsidRDefault="002F6625" w:rsidP="00A20143">
            <w:pPr>
              <w:pStyle w:val="TabletextrowsAgency"/>
            </w:pPr>
          </w:p>
        </w:tc>
      </w:tr>
      <w:tr w:rsidR="002F6625" w14:paraId="6C385BF8" w14:textId="77777777" w:rsidTr="00CB22FF">
        <w:tc>
          <w:tcPr>
            <w:tcW w:w="756" w:type="pct"/>
            <w:shd w:val="clear" w:color="auto" w:fill="E1E3F2"/>
          </w:tcPr>
          <w:p w14:paraId="1E966618" w14:textId="77777777" w:rsidR="002F6625" w:rsidRDefault="002F6625" w:rsidP="00DE61C8">
            <w:pPr>
              <w:pStyle w:val="TabletextrowsAgency"/>
              <w:spacing w:line="240" w:lineRule="auto"/>
            </w:pPr>
            <w:r>
              <w:t>Lines 44-45</w:t>
            </w:r>
          </w:p>
          <w:p w14:paraId="0AD77639" w14:textId="77777777" w:rsidR="002F6625" w:rsidRDefault="002F6625" w:rsidP="00DE61C8">
            <w:pPr>
              <w:pStyle w:val="Default"/>
              <w:rPr>
                <w:sz w:val="18"/>
                <w:szCs w:val="18"/>
              </w:rPr>
            </w:pPr>
          </w:p>
          <w:p w14:paraId="4BB26B06" w14:textId="06DF1179" w:rsidR="002F6625" w:rsidRPr="00D76622" w:rsidRDefault="002F6625" w:rsidP="00DE61C8">
            <w:pPr>
              <w:pStyle w:val="TabletextrowsAgency"/>
              <w:spacing w:line="240" w:lineRule="auto"/>
            </w:pPr>
            <w:r>
              <w:t>(How to present the mass balance study results: adding a recommendation on how to illustrate the elimination of a drug schematically)</w:t>
            </w:r>
          </w:p>
        </w:tc>
        <w:tc>
          <w:tcPr>
            <w:tcW w:w="701" w:type="pct"/>
            <w:shd w:val="clear" w:color="auto" w:fill="E1E3F2"/>
          </w:tcPr>
          <w:p w14:paraId="16C0A9D0" w14:textId="0C8442FE" w:rsidR="002F6625" w:rsidRPr="00095521" w:rsidRDefault="002F6625" w:rsidP="00A20143">
            <w:pPr>
              <w:pStyle w:val="TabletextrowsAgency"/>
              <w:rPr>
                <w:b/>
                <w:highlight w:val="green"/>
              </w:rPr>
            </w:pPr>
          </w:p>
        </w:tc>
        <w:tc>
          <w:tcPr>
            <w:tcW w:w="2006" w:type="pct"/>
            <w:shd w:val="clear" w:color="auto" w:fill="E1E3F2"/>
          </w:tcPr>
          <w:p w14:paraId="3CA95102" w14:textId="77777777" w:rsidR="002F6625" w:rsidRDefault="002F6625" w:rsidP="00D76622">
            <w:pPr>
              <w:pStyle w:val="TabletextrowsAgency"/>
              <w:spacing w:line="240" w:lineRule="auto"/>
              <w:rPr>
                <w:b/>
              </w:rPr>
            </w:pPr>
            <w:r w:rsidRPr="00893CC8">
              <w:rPr>
                <w:b/>
              </w:rPr>
              <w:t>Comment:</w:t>
            </w:r>
          </w:p>
          <w:p w14:paraId="79AE8BAB" w14:textId="77777777" w:rsidR="00564CAB" w:rsidRPr="00893CC8" w:rsidRDefault="00564CAB" w:rsidP="00D76622">
            <w:pPr>
              <w:pStyle w:val="TabletextrowsAgency"/>
              <w:spacing w:line="240" w:lineRule="auto"/>
              <w:rPr>
                <w:b/>
                <w:color w:val="FF0000"/>
              </w:rPr>
            </w:pPr>
          </w:p>
          <w:p w14:paraId="2A524D33" w14:textId="77777777" w:rsidR="002F6625" w:rsidRDefault="002F6625" w:rsidP="00D76622">
            <w:pPr>
              <w:pStyle w:val="TabletextrowsAgency"/>
              <w:spacing w:line="240" w:lineRule="auto"/>
            </w:pPr>
            <w:r w:rsidRPr="00436221">
              <w:t xml:space="preserve">The importance of clearly presented mass balance information for victim DDI assessments is acknowledged.  While a schematic illustration of mass balance results may be beneficial for presentation in the dossier to assist in the review of the application, this may be overly prescriptive for the purposes of product labelling.  </w:t>
            </w:r>
          </w:p>
          <w:p w14:paraId="69EC6305" w14:textId="77777777" w:rsidR="002F6625" w:rsidRDefault="002F6625" w:rsidP="00D76622">
            <w:pPr>
              <w:pStyle w:val="TabletextrowsAgency"/>
              <w:spacing w:line="240" w:lineRule="auto"/>
            </w:pPr>
          </w:p>
          <w:p w14:paraId="30FEB25D" w14:textId="77777777" w:rsidR="002F6625" w:rsidRDefault="002F6625" w:rsidP="00D76622">
            <w:pPr>
              <w:pStyle w:val="TabletextrowsAgency"/>
              <w:spacing w:line="240" w:lineRule="auto"/>
            </w:pPr>
          </w:p>
          <w:p w14:paraId="1F6B885E" w14:textId="0D840CC3" w:rsidR="002F6625" w:rsidRDefault="00564CAB" w:rsidP="00D76622">
            <w:pPr>
              <w:pStyle w:val="TabletextrowsAgency"/>
              <w:spacing w:line="240" w:lineRule="auto"/>
            </w:pPr>
            <w:r>
              <w:t>Ex</w:t>
            </w:r>
            <w:r w:rsidR="002F6625">
              <w:t>ample</w:t>
            </w:r>
            <w:r>
              <w:t>s o</w:t>
            </w:r>
            <w:r w:rsidR="002F6625">
              <w:t xml:space="preserve">f how such </w:t>
            </w:r>
            <w:r>
              <w:t>an optional scheme could look are</w:t>
            </w:r>
            <w:r w:rsidR="002F6625">
              <w:t xml:space="preserve"> shown below:</w:t>
            </w:r>
          </w:p>
          <w:p w14:paraId="7B5B4387" w14:textId="77777777" w:rsidR="002F6625" w:rsidRDefault="002F6625" w:rsidP="00D76622">
            <w:pPr>
              <w:pStyle w:val="TabletextrowsAgency"/>
              <w:spacing w:line="240" w:lineRule="auto"/>
            </w:pPr>
          </w:p>
          <w:p w14:paraId="1FC21861" w14:textId="77777777" w:rsidR="002F6625" w:rsidRDefault="002F6625" w:rsidP="00360F7A">
            <w:pPr>
              <w:pStyle w:val="TabletextrowsAgency"/>
              <w:spacing w:line="240" w:lineRule="auto"/>
              <w:rPr>
                <w:noProof/>
                <w:lang w:val="en-US" w:eastAsia="en-US"/>
              </w:rPr>
            </w:pPr>
          </w:p>
          <w:p w14:paraId="742DF6BC" w14:textId="7656A2BF" w:rsidR="002F6625" w:rsidRDefault="002F6625" w:rsidP="00360F7A">
            <w:pPr>
              <w:pStyle w:val="TabletextrowsAgency"/>
              <w:spacing w:line="240" w:lineRule="auto"/>
              <w:rPr>
                <w:noProof/>
                <w:lang w:val="en-US" w:eastAsia="en-US"/>
              </w:rPr>
            </w:pPr>
            <w:r>
              <w:rPr>
                <w:noProof/>
                <w:lang w:val="en-US" w:eastAsia="en-US"/>
              </w:rPr>
              <w:lastRenderedPageBreak/>
              <w:drawing>
                <wp:inline distT="0" distB="0" distL="0" distR="0" wp14:anchorId="74AE6641" wp14:editId="6195C8F7">
                  <wp:extent cx="3698875" cy="1673225"/>
                  <wp:effectExtent l="0" t="0" r="9525" b="3175"/>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98875" cy="1673225"/>
                          </a:xfrm>
                          <a:prstGeom prst="rect">
                            <a:avLst/>
                          </a:prstGeom>
                          <a:noFill/>
                        </pic:spPr>
                      </pic:pic>
                    </a:graphicData>
                  </a:graphic>
                </wp:inline>
              </w:drawing>
            </w:r>
          </w:p>
          <w:p w14:paraId="225F7EAA" w14:textId="77777777" w:rsidR="002F6625" w:rsidRDefault="002F6625" w:rsidP="00360F7A">
            <w:pPr>
              <w:pStyle w:val="TabletextrowsAgency"/>
              <w:spacing w:line="240" w:lineRule="auto"/>
              <w:rPr>
                <w:noProof/>
                <w:lang w:val="en-US" w:eastAsia="en-US"/>
              </w:rPr>
            </w:pPr>
          </w:p>
          <w:p w14:paraId="4414A015" w14:textId="77777777" w:rsidR="002F6625" w:rsidRDefault="002F6625" w:rsidP="00360F7A">
            <w:pPr>
              <w:pStyle w:val="TabletextrowsAgency"/>
              <w:spacing w:line="240" w:lineRule="auto"/>
              <w:rPr>
                <w:noProof/>
                <w:lang w:val="en-US" w:eastAsia="en-US"/>
              </w:rPr>
            </w:pPr>
          </w:p>
          <w:p w14:paraId="664E1BF2" w14:textId="5BF47CB1" w:rsidR="002F6625" w:rsidRDefault="002F6625" w:rsidP="00360F7A">
            <w:pPr>
              <w:pStyle w:val="TabletextrowsAgency"/>
              <w:spacing w:line="240" w:lineRule="auto"/>
              <w:rPr>
                <w:noProof/>
                <w:lang w:val="en-US" w:eastAsia="en-US"/>
              </w:rPr>
            </w:pPr>
            <w:r>
              <w:rPr>
                <w:noProof/>
                <w:lang w:val="en-US" w:eastAsia="en-US"/>
              </w:rPr>
              <w:lastRenderedPageBreak/>
              <w:drawing>
                <wp:anchor distT="0" distB="0" distL="114300" distR="114300" simplePos="0" relativeHeight="251659264" behindDoc="0" locked="0" layoutInCell="1" allowOverlap="1" wp14:anchorId="4D6079A0" wp14:editId="0926DB7A">
                  <wp:simplePos x="0" y="0"/>
                  <wp:positionH relativeFrom="column">
                    <wp:posOffset>88265</wp:posOffset>
                  </wp:positionH>
                  <wp:positionV relativeFrom="paragraph">
                    <wp:posOffset>475615</wp:posOffset>
                  </wp:positionV>
                  <wp:extent cx="3794760" cy="28460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4760" cy="2846070"/>
                          </a:xfrm>
                          <a:prstGeom prst="rect">
                            <a:avLst/>
                          </a:prstGeom>
                          <a:noFill/>
                        </pic:spPr>
                      </pic:pic>
                    </a:graphicData>
                  </a:graphic>
                  <wp14:sizeRelH relativeFrom="page">
                    <wp14:pctWidth>0</wp14:pctWidth>
                  </wp14:sizeRelH>
                  <wp14:sizeRelV relativeFrom="page">
                    <wp14:pctHeight>0</wp14:pctHeight>
                  </wp14:sizeRelV>
                </wp:anchor>
              </w:drawing>
            </w:r>
          </w:p>
          <w:p w14:paraId="5D92F658" w14:textId="77777777" w:rsidR="002F6625" w:rsidRDefault="002F6625" w:rsidP="00360F7A">
            <w:pPr>
              <w:pStyle w:val="TabletextrowsAgency"/>
              <w:spacing w:line="240" w:lineRule="auto"/>
              <w:rPr>
                <w:noProof/>
                <w:lang w:val="en-US" w:eastAsia="en-US"/>
              </w:rPr>
            </w:pPr>
          </w:p>
          <w:p w14:paraId="32BE7D76" w14:textId="77777777" w:rsidR="002F6625" w:rsidRDefault="002F6625" w:rsidP="005E7780">
            <w:pPr>
              <w:pStyle w:val="TabletextrowsAgency"/>
              <w:spacing w:line="240" w:lineRule="auto"/>
            </w:pPr>
          </w:p>
          <w:p w14:paraId="50DFDCCD" w14:textId="77777777" w:rsidR="002F6625" w:rsidRDefault="002F6625" w:rsidP="005E7780">
            <w:pPr>
              <w:pStyle w:val="TabletextrowsAgency"/>
              <w:spacing w:line="240" w:lineRule="auto"/>
            </w:pPr>
          </w:p>
          <w:p w14:paraId="553A9936" w14:textId="573FEEB6" w:rsidR="002F6625" w:rsidRDefault="002F6625" w:rsidP="005E7780">
            <w:pPr>
              <w:pStyle w:val="TabletextrowsAgency"/>
              <w:spacing w:line="240" w:lineRule="auto"/>
            </w:pPr>
            <w:r>
              <w:t>We prefer</w:t>
            </w:r>
            <w:r w:rsidRPr="00436221">
              <w:t xml:space="preserve"> that the precise method of presentation of results in both the dossier and labelling be left to the disc</w:t>
            </w:r>
            <w:r w:rsidR="000A7FD5">
              <w:t>retion of individual applicants</w:t>
            </w:r>
            <w:r>
              <w:t>.</w:t>
            </w:r>
          </w:p>
          <w:p w14:paraId="448AF6AE" w14:textId="77777777" w:rsidR="002F6625" w:rsidRDefault="002F6625" w:rsidP="00360F7A">
            <w:pPr>
              <w:pStyle w:val="TabletextrowsAgency"/>
              <w:spacing w:line="240" w:lineRule="auto"/>
              <w:rPr>
                <w:noProof/>
                <w:lang w:val="en-US" w:eastAsia="en-US"/>
              </w:rPr>
            </w:pPr>
          </w:p>
          <w:p w14:paraId="783F41DD" w14:textId="6FA7818E" w:rsidR="002F6625" w:rsidRPr="00893CC8" w:rsidRDefault="002F6625" w:rsidP="00360F7A">
            <w:pPr>
              <w:pStyle w:val="TabletextrowsAgency"/>
              <w:spacing w:line="240" w:lineRule="auto"/>
              <w:rPr>
                <w:b/>
              </w:rPr>
            </w:pPr>
          </w:p>
        </w:tc>
        <w:tc>
          <w:tcPr>
            <w:tcW w:w="1537" w:type="pct"/>
            <w:shd w:val="clear" w:color="auto" w:fill="E1E3F2"/>
          </w:tcPr>
          <w:p w14:paraId="2DCEA90E" w14:textId="77777777" w:rsidR="002F6625" w:rsidRDefault="002F6625" w:rsidP="00A20143">
            <w:pPr>
              <w:pStyle w:val="TabletextrowsAgency"/>
            </w:pPr>
          </w:p>
        </w:tc>
      </w:tr>
      <w:tr w:rsidR="002F6625" w14:paraId="4C63C31D" w14:textId="77777777" w:rsidTr="00CB22FF">
        <w:trPr>
          <w:trHeight w:val="1276"/>
        </w:trPr>
        <w:tc>
          <w:tcPr>
            <w:tcW w:w="756" w:type="pct"/>
            <w:shd w:val="clear" w:color="auto" w:fill="E1E3F2"/>
          </w:tcPr>
          <w:p w14:paraId="3E0FC4BF" w14:textId="26281EC7" w:rsidR="002F6625" w:rsidRDefault="00681415" w:rsidP="003A353A">
            <w:pPr>
              <w:pStyle w:val="TabletextrowsAgency"/>
              <w:spacing w:line="240" w:lineRule="auto"/>
            </w:pPr>
            <w:r>
              <w:lastRenderedPageBreak/>
              <w:t xml:space="preserve">Line </w:t>
            </w:r>
            <w:r w:rsidR="002F6625">
              <w:t>46</w:t>
            </w:r>
          </w:p>
        </w:tc>
        <w:tc>
          <w:tcPr>
            <w:tcW w:w="701" w:type="pct"/>
            <w:shd w:val="clear" w:color="auto" w:fill="E1E3F2"/>
          </w:tcPr>
          <w:p w14:paraId="7DFBBB16" w14:textId="7E274CFB" w:rsidR="002F6625" w:rsidRPr="00095521" w:rsidRDefault="002F6625" w:rsidP="003A353A">
            <w:pPr>
              <w:pStyle w:val="TabletextrowsAgency"/>
              <w:spacing w:line="240" w:lineRule="auto"/>
              <w:rPr>
                <w:b/>
                <w:highlight w:val="green"/>
              </w:rPr>
            </w:pPr>
          </w:p>
        </w:tc>
        <w:tc>
          <w:tcPr>
            <w:tcW w:w="2006" w:type="pct"/>
            <w:shd w:val="clear" w:color="auto" w:fill="E1E3F2"/>
          </w:tcPr>
          <w:p w14:paraId="53AC3B61" w14:textId="77777777" w:rsidR="002F6625" w:rsidRDefault="002F6625" w:rsidP="003A353A">
            <w:pPr>
              <w:pStyle w:val="TabletextrowsAgency"/>
              <w:spacing w:line="240" w:lineRule="auto"/>
            </w:pPr>
            <w:r w:rsidRPr="00564CAB">
              <w:rPr>
                <w:b/>
              </w:rPr>
              <w:t>Comment:</w:t>
            </w:r>
            <w:r>
              <w:t xml:space="preserve">   Currently the text pertaining to the necessity of in vivo evaluation for effects on contraceptive steroids if a potential teratogen is intended for use in fertile women, regardless of the </w:t>
            </w:r>
            <w:r>
              <w:rPr>
                <w:i/>
                <w:iCs/>
              </w:rPr>
              <w:t xml:space="preserve">in vitro </w:t>
            </w:r>
            <w:r>
              <w:t xml:space="preserve">induction study results is harmonized across the EMA (2012) and FDA DDI (2012) Guidance documents.  </w:t>
            </w:r>
          </w:p>
          <w:p w14:paraId="116ECEC9" w14:textId="77777777" w:rsidR="002F6625" w:rsidRPr="00564CAB" w:rsidRDefault="002F6625" w:rsidP="003A353A">
            <w:pPr>
              <w:pStyle w:val="TabletextrowsAgency"/>
              <w:spacing w:line="240" w:lineRule="auto"/>
              <w:rPr>
                <w:b/>
              </w:rPr>
            </w:pPr>
          </w:p>
          <w:p w14:paraId="62FFA0A0" w14:textId="77777777" w:rsidR="002F6625" w:rsidRDefault="002F6625" w:rsidP="003A353A">
            <w:pPr>
              <w:pStyle w:val="TabletextrowsAgency"/>
              <w:spacing w:line="240" w:lineRule="auto"/>
            </w:pPr>
            <w:r w:rsidRPr="00564CAB">
              <w:rPr>
                <w:b/>
              </w:rPr>
              <w:t>Proposed change (if any):</w:t>
            </w:r>
            <w:r>
              <w:t xml:space="preserve">  If any changes are proposed to the EMA DDI Guideline, these should be considered together with the expectations of the FDA PLLR to maintain harmonization of intent, as far as possible, across these Global Guidelines.</w:t>
            </w:r>
          </w:p>
          <w:p w14:paraId="03C20F64" w14:textId="77777777" w:rsidR="002F6625" w:rsidRDefault="002F6625" w:rsidP="003A353A">
            <w:pPr>
              <w:pStyle w:val="TabletextrowsAgency"/>
              <w:spacing w:line="240" w:lineRule="auto"/>
            </w:pPr>
          </w:p>
          <w:p w14:paraId="3D4523D1" w14:textId="77777777" w:rsidR="002F6625" w:rsidRDefault="002F6625" w:rsidP="003A353A">
            <w:pPr>
              <w:pStyle w:val="TabletextrowsAgency"/>
              <w:spacing w:line="240" w:lineRule="auto"/>
              <w:rPr>
                <w:b/>
              </w:rPr>
            </w:pPr>
          </w:p>
        </w:tc>
        <w:tc>
          <w:tcPr>
            <w:tcW w:w="1537" w:type="pct"/>
            <w:shd w:val="clear" w:color="auto" w:fill="E1E3F2"/>
          </w:tcPr>
          <w:p w14:paraId="207BE743" w14:textId="77777777" w:rsidR="002F6625" w:rsidRDefault="002F6625" w:rsidP="00A20143">
            <w:pPr>
              <w:pStyle w:val="TabletextrowsAgency"/>
            </w:pPr>
          </w:p>
        </w:tc>
      </w:tr>
      <w:tr w:rsidR="002F6625" w14:paraId="5EEC5512" w14:textId="77777777" w:rsidTr="00CB22FF">
        <w:tc>
          <w:tcPr>
            <w:tcW w:w="756" w:type="pct"/>
            <w:shd w:val="clear" w:color="auto" w:fill="E1E3F2"/>
          </w:tcPr>
          <w:p w14:paraId="3058CE52" w14:textId="3B11764F" w:rsidR="002F6625" w:rsidRPr="004C1DCF" w:rsidRDefault="002F6625" w:rsidP="00796F64">
            <w:pPr>
              <w:pStyle w:val="TabletextrowsAgency"/>
              <w:spacing w:line="240" w:lineRule="auto"/>
            </w:pPr>
            <w:r w:rsidRPr="004C1DCF">
              <w:t>Line 47</w:t>
            </w:r>
          </w:p>
        </w:tc>
        <w:tc>
          <w:tcPr>
            <w:tcW w:w="701" w:type="pct"/>
            <w:shd w:val="clear" w:color="auto" w:fill="E1E3F2"/>
          </w:tcPr>
          <w:p w14:paraId="59EFDC8E" w14:textId="42F745D2" w:rsidR="002F6625" w:rsidRPr="004C1DCF" w:rsidRDefault="002F6625" w:rsidP="005E7780">
            <w:pPr>
              <w:pStyle w:val="TabletextrowsAgency"/>
              <w:spacing w:line="240" w:lineRule="auto"/>
              <w:rPr>
                <w:b/>
              </w:rPr>
            </w:pPr>
          </w:p>
        </w:tc>
        <w:tc>
          <w:tcPr>
            <w:tcW w:w="2006" w:type="pct"/>
            <w:shd w:val="clear" w:color="auto" w:fill="E1E3F2"/>
          </w:tcPr>
          <w:p w14:paraId="61ED1956" w14:textId="3154E54A" w:rsidR="002F6625" w:rsidRPr="00681415" w:rsidRDefault="00681415" w:rsidP="00796F64">
            <w:pPr>
              <w:pStyle w:val="TabletextrowsAgency"/>
              <w:spacing w:line="240" w:lineRule="auto"/>
              <w:rPr>
                <w:b/>
              </w:rPr>
            </w:pPr>
            <w:r>
              <w:rPr>
                <w:b/>
              </w:rPr>
              <w:t>Comment:</w:t>
            </w:r>
            <w:r w:rsidR="00E632B1">
              <w:rPr>
                <w:b/>
              </w:rPr>
              <w:t xml:space="preserve">  </w:t>
            </w:r>
            <w:r w:rsidR="002F6625" w:rsidRPr="00A8582F">
              <w:t>The duration of treatment of a test inducer to measure CYP3A4 induction in vivo would be</w:t>
            </w:r>
            <w:r w:rsidR="002F6625">
              <w:t xml:space="preserve"> compound specific.  Considerations should be made for the time the compound takes to reach steady-state and the time for induction of the target enzyme</w:t>
            </w:r>
            <w:r w:rsidR="002F6625" w:rsidRPr="00A8582F">
              <w:t xml:space="preserve"> (dependent</w:t>
            </w:r>
            <w:r w:rsidR="002F6625">
              <w:t xml:space="preserve"> on the degradation</w:t>
            </w:r>
            <w:r w:rsidR="00E632B1">
              <w:t>/synthesis</w:t>
            </w:r>
            <w:r w:rsidR="002F6625">
              <w:t xml:space="preserve"> rate constant</w:t>
            </w:r>
            <w:r w:rsidR="00E632B1">
              <w:t xml:space="preserve"> of the induced enzyme</w:t>
            </w:r>
            <w:r w:rsidR="002F6625">
              <w:t>,</w:t>
            </w:r>
            <w:r w:rsidR="002F6625" w:rsidRPr="00A8582F">
              <w:t xml:space="preserve"> </w:t>
            </w:r>
            <w:proofErr w:type="spellStart"/>
            <w:r w:rsidR="002F6625" w:rsidRPr="00A8582F">
              <w:t>k</w:t>
            </w:r>
            <w:r w:rsidR="002F6625" w:rsidRPr="00A8582F">
              <w:rPr>
                <w:vertAlign w:val="subscript"/>
              </w:rPr>
              <w:t>deg</w:t>
            </w:r>
            <w:proofErr w:type="spellEnd"/>
            <w:r w:rsidR="002F6625" w:rsidRPr="00A8582F">
              <w:t>)</w:t>
            </w:r>
            <w:r w:rsidR="002F6625">
              <w:t>.</w:t>
            </w:r>
          </w:p>
        </w:tc>
        <w:tc>
          <w:tcPr>
            <w:tcW w:w="1537" w:type="pct"/>
            <w:shd w:val="clear" w:color="auto" w:fill="E1E3F2"/>
          </w:tcPr>
          <w:p w14:paraId="5FF1EBB4" w14:textId="77777777" w:rsidR="002F6625" w:rsidRDefault="002F6625" w:rsidP="00A20143">
            <w:pPr>
              <w:pStyle w:val="TabletextrowsAgency"/>
            </w:pPr>
          </w:p>
        </w:tc>
      </w:tr>
      <w:tr w:rsidR="002F6625" w14:paraId="69F4631D" w14:textId="77777777" w:rsidTr="00CB22FF">
        <w:tc>
          <w:tcPr>
            <w:tcW w:w="756" w:type="pct"/>
            <w:shd w:val="clear" w:color="auto" w:fill="E1E3F2"/>
          </w:tcPr>
          <w:p w14:paraId="1732E585" w14:textId="115D2760" w:rsidR="002F6625" w:rsidRDefault="002F6625" w:rsidP="003A353A">
            <w:pPr>
              <w:pStyle w:val="TabletextrowsAgency"/>
              <w:spacing w:line="240" w:lineRule="auto"/>
            </w:pPr>
            <w:r>
              <w:t>Additional Topics</w:t>
            </w:r>
          </w:p>
        </w:tc>
        <w:tc>
          <w:tcPr>
            <w:tcW w:w="701" w:type="pct"/>
            <w:shd w:val="clear" w:color="auto" w:fill="E1E3F2"/>
          </w:tcPr>
          <w:p w14:paraId="169BE514" w14:textId="350E61E6" w:rsidR="002F6625" w:rsidRPr="003A353A" w:rsidRDefault="002F6625" w:rsidP="003A353A">
            <w:pPr>
              <w:pStyle w:val="TabletextrowsAgency"/>
              <w:spacing w:line="240" w:lineRule="auto"/>
              <w:rPr>
                <w:b/>
              </w:rPr>
            </w:pPr>
          </w:p>
        </w:tc>
        <w:tc>
          <w:tcPr>
            <w:tcW w:w="2006" w:type="pct"/>
            <w:shd w:val="clear" w:color="auto" w:fill="E1E3F2"/>
          </w:tcPr>
          <w:p w14:paraId="3DBC5356" w14:textId="77777777" w:rsidR="002F6625" w:rsidRDefault="002F6625" w:rsidP="003A353A">
            <w:pPr>
              <w:pStyle w:val="TabletextrowsAgency"/>
              <w:spacing w:line="240" w:lineRule="auto"/>
            </w:pPr>
            <w:r w:rsidRPr="00681415">
              <w:rPr>
                <w:b/>
              </w:rPr>
              <w:t>Comment:</w:t>
            </w:r>
            <w:r>
              <w:t xml:space="preserve">  To avoid overly prescriptive selection criteria, the examples provided in the lists of in vitro substrates and inhibitors as well as in vivo substrates and inhibitors across Appendices IV-VII of the current 2012 Guideline were not meant to be inclusive of all possible in vitro or clinical probes for evaluation.</w:t>
            </w:r>
          </w:p>
          <w:p w14:paraId="7CD5CC53" w14:textId="77777777" w:rsidR="002F6625" w:rsidRPr="00564CAB" w:rsidRDefault="002F6625" w:rsidP="003A353A">
            <w:pPr>
              <w:pStyle w:val="TabletextrowsAgency"/>
              <w:spacing w:line="240" w:lineRule="auto"/>
              <w:rPr>
                <w:b/>
              </w:rPr>
            </w:pPr>
          </w:p>
          <w:p w14:paraId="310C944C" w14:textId="77777777" w:rsidR="002F6625" w:rsidRPr="00B822FC" w:rsidRDefault="002F6625" w:rsidP="003A353A">
            <w:pPr>
              <w:pStyle w:val="TabletextrowsAgency"/>
              <w:spacing w:line="240" w:lineRule="auto"/>
            </w:pPr>
            <w:r w:rsidRPr="00564CAB">
              <w:rPr>
                <w:b/>
              </w:rPr>
              <w:t xml:space="preserve">Proposed change (if any):  </w:t>
            </w:r>
            <w:r>
              <w:t xml:space="preserve">Given the expansion of the knowledgebase and formulary, we recommend updates and additions, beyond that identified in Line 32, to lists of in vitro and in vivo substrates, inhibitors and inducers.  This may include lists, classified by potency (e.g. strong, moderate, weak), as appropriate, for in vivo inhibitors and inducers of drug metabolizing enzymes, as well as examples of in vivo </w:t>
            </w:r>
            <w:r>
              <w:lastRenderedPageBreak/>
              <w:t>inhibitors, inducers and substrates of transporters.</w:t>
            </w:r>
          </w:p>
          <w:p w14:paraId="75AFE7DC" w14:textId="77777777" w:rsidR="002F6625" w:rsidRDefault="002F6625" w:rsidP="003A353A">
            <w:pPr>
              <w:pStyle w:val="TabletextrowsAgency"/>
              <w:spacing w:line="240" w:lineRule="auto"/>
            </w:pPr>
          </w:p>
        </w:tc>
        <w:tc>
          <w:tcPr>
            <w:tcW w:w="1537" w:type="pct"/>
            <w:shd w:val="clear" w:color="auto" w:fill="E1E3F2"/>
          </w:tcPr>
          <w:p w14:paraId="785EDA94" w14:textId="77777777" w:rsidR="002F6625" w:rsidRDefault="002F6625" w:rsidP="00A20143">
            <w:pPr>
              <w:pStyle w:val="TabletextrowsAgency"/>
            </w:pPr>
          </w:p>
        </w:tc>
      </w:tr>
      <w:tr w:rsidR="002F6625" w14:paraId="43A3D54B" w14:textId="77777777" w:rsidTr="00CB22FF">
        <w:tc>
          <w:tcPr>
            <w:tcW w:w="756" w:type="pct"/>
            <w:shd w:val="clear" w:color="auto" w:fill="E1E3F2"/>
          </w:tcPr>
          <w:p w14:paraId="37021718" w14:textId="11E944A8" w:rsidR="002F6625" w:rsidRDefault="002F6625" w:rsidP="003A353A">
            <w:pPr>
              <w:pStyle w:val="TabletextrowsAgency"/>
              <w:spacing w:line="240" w:lineRule="auto"/>
            </w:pPr>
            <w:r>
              <w:lastRenderedPageBreak/>
              <w:t>Additional Topics</w:t>
            </w:r>
          </w:p>
        </w:tc>
        <w:tc>
          <w:tcPr>
            <w:tcW w:w="701" w:type="pct"/>
            <w:shd w:val="clear" w:color="auto" w:fill="E1E3F2"/>
          </w:tcPr>
          <w:p w14:paraId="663CB521" w14:textId="239BC880" w:rsidR="002F6625" w:rsidRDefault="002F6625" w:rsidP="003A353A">
            <w:pPr>
              <w:pStyle w:val="TabletextrowsAgency"/>
              <w:spacing w:line="240" w:lineRule="auto"/>
            </w:pPr>
          </w:p>
        </w:tc>
        <w:tc>
          <w:tcPr>
            <w:tcW w:w="2006" w:type="pct"/>
            <w:shd w:val="clear" w:color="auto" w:fill="E1E3F2"/>
          </w:tcPr>
          <w:p w14:paraId="445DA79B" w14:textId="77777777" w:rsidR="002F6625" w:rsidRDefault="002F6625" w:rsidP="003A353A">
            <w:pPr>
              <w:pStyle w:val="TabletextrowsAgency"/>
              <w:spacing w:line="240" w:lineRule="auto"/>
            </w:pPr>
            <w:r w:rsidRPr="00681415">
              <w:rPr>
                <w:b/>
              </w:rPr>
              <w:t>Comment:</w:t>
            </w:r>
            <w:r w:rsidRPr="00192225">
              <w:t xml:space="preserve"> </w:t>
            </w:r>
            <w:r>
              <w:t xml:space="preserve"> </w:t>
            </w:r>
            <w:r w:rsidRPr="00192225">
              <w:t xml:space="preserve"> Section 5 (Pharmacokinetic Interactions); pp. 7/59 of the current Guideline states “In the area of HIV there have been cases of unexpected interactions. When developing a drug in such an area, in vivo interaction studies should be considered with commonly combined drugs having a relatively narrow therapeutic window while more knowledge is gained on the mechanism behind the unsuspected interactions in the field”.  </w:t>
            </w:r>
          </w:p>
          <w:p w14:paraId="57F3B0C3" w14:textId="77777777" w:rsidR="002F6625" w:rsidRPr="00681415" w:rsidRDefault="002F6625" w:rsidP="003A353A">
            <w:pPr>
              <w:pStyle w:val="TabletextrowsAgency"/>
              <w:spacing w:line="240" w:lineRule="auto"/>
              <w:rPr>
                <w:b/>
              </w:rPr>
            </w:pPr>
          </w:p>
          <w:p w14:paraId="3AD0FF4F" w14:textId="77777777" w:rsidR="002F6625" w:rsidRDefault="002F6625" w:rsidP="003A353A">
            <w:pPr>
              <w:pStyle w:val="TabletextrowsAgency"/>
              <w:spacing w:line="240" w:lineRule="auto"/>
            </w:pPr>
            <w:r w:rsidRPr="00681415">
              <w:rPr>
                <w:b/>
              </w:rPr>
              <w:t xml:space="preserve">Proposed change (if any):  </w:t>
            </w:r>
            <w:r>
              <w:t xml:space="preserve">It remains unclear what the definition and criteria for these “unexpected interactions” may be and examples for which in vivo studies would be expected or those settings whereby interactions could be suitably discharged with other modalities (e.g. PBPK).  </w:t>
            </w:r>
          </w:p>
          <w:p w14:paraId="41FDA2C8" w14:textId="77777777" w:rsidR="002F6625" w:rsidRDefault="002F6625" w:rsidP="003A353A">
            <w:pPr>
              <w:pStyle w:val="TabletextrowsAgency"/>
              <w:spacing w:line="240" w:lineRule="auto"/>
            </w:pPr>
          </w:p>
        </w:tc>
        <w:tc>
          <w:tcPr>
            <w:tcW w:w="1537" w:type="pct"/>
            <w:shd w:val="clear" w:color="auto" w:fill="E1E3F2"/>
          </w:tcPr>
          <w:p w14:paraId="3A5AACCC" w14:textId="77777777" w:rsidR="002F6625" w:rsidRDefault="002F6625" w:rsidP="00A20143">
            <w:pPr>
              <w:pStyle w:val="TabletextrowsAgency"/>
            </w:pPr>
          </w:p>
        </w:tc>
      </w:tr>
      <w:tr w:rsidR="002F6625" w14:paraId="17E72585" w14:textId="77777777" w:rsidTr="00CB22FF">
        <w:tc>
          <w:tcPr>
            <w:tcW w:w="756" w:type="pct"/>
            <w:shd w:val="clear" w:color="auto" w:fill="E1E3F2"/>
          </w:tcPr>
          <w:p w14:paraId="050D9EEA" w14:textId="3CFBA0F2" w:rsidR="002F6625" w:rsidRDefault="002F6625" w:rsidP="003A353A">
            <w:pPr>
              <w:pStyle w:val="TabletextrowsAgency"/>
              <w:spacing w:line="240" w:lineRule="auto"/>
            </w:pPr>
            <w:r>
              <w:t>Additional Topics</w:t>
            </w:r>
          </w:p>
        </w:tc>
        <w:tc>
          <w:tcPr>
            <w:tcW w:w="701" w:type="pct"/>
            <w:shd w:val="clear" w:color="auto" w:fill="E1E3F2"/>
          </w:tcPr>
          <w:p w14:paraId="76961ABF" w14:textId="4F471C1F" w:rsidR="002F6625" w:rsidRDefault="002F6625" w:rsidP="003A353A">
            <w:pPr>
              <w:pStyle w:val="TabletextrowsAgency"/>
              <w:spacing w:line="240" w:lineRule="auto"/>
            </w:pPr>
          </w:p>
        </w:tc>
        <w:tc>
          <w:tcPr>
            <w:tcW w:w="2006" w:type="pct"/>
            <w:shd w:val="clear" w:color="auto" w:fill="E1E3F2"/>
          </w:tcPr>
          <w:p w14:paraId="778D03E0" w14:textId="6CC3077F" w:rsidR="002F6625" w:rsidRDefault="002F6625" w:rsidP="004F5477">
            <w:pPr>
              <w:pStyle w:val="TabletextrowsAgency"/>
              <w:spacing w:line="240" w:lineRule="auto"/>
            </w:pPr>
            <w:r w:rsidRPr="00681415">
              <w:rPr>
                <w:b/>
              </w:rPr>
              <w:t>Comment:</w:t>
            </w:r>
            <w:r>
              <w:t xml:space="preserve">   Revisions to the FDA draft DDI Guidance Document are also planned and in consideration of the breadth of the in vitro and in vivo topics reviewed, the intent of these updates may also include issuance of separate documents for in vitro and in vivo evaluations of the DDI potential.  Should EMA consider similar efforts to separate in vitro from in vivo DDI guidelines, EFPIA would be supportive.  The proposed revisions to the labelling topics in the current DDI Guideline could be</w:t>
            </w:r>
            <w:r w:rsidR="00263150">
              <w:t xml:space="preserve"> </w:t>
            </w:r>
            <w:r>
              <w:t xml:space="preserve">incorporated together with topics pertaining to in vivo content or within a separate Guideline highlighting the expectations of labelling across Clinical Pharmacology content and relevant </w:t>
            </w:r>
            <w:proofErr w:type="spellStart"/>
            <w:r>
              <w:t>SmPC</w:t>
            </w:r>
            <w:proofErr w:type="spellEnd"/>
            <w:r>
              <w:t xml:space="preserve"> sections.</w:t>
            </w:r>
          </w:p>
        </w:tc>
        <w:tc>
          <w:tcPr>
            <w:tcW w:w="1537" w:type="pct"/>
            <w:shd w:val="clear" w:color="auto" w:fill="E1E3F2"/>
          </w:tcPr>
          <w:p w14:paraId="77DA9731" w14:textId="77777777" w:rsidR="002F6625" w:rsidRDefault="002F6625" w:rsidP="00A20143">
            <w:pPr>
              <w:pStyle w:val="TabletextrowsAgency"/>
            </w:pPr>
          </w:p>
        </w:tc>
      </w:tr>
      <w:tr w:rsidR="002F6625" w14:paraId="30334498" w14:textId="77777777" w:rsidTr="00CB22FF">
        <w:tc>
          <w:tcPr>
            <w:tcW w:w="756" w:type="pct"/>
            <w:shd w:val="clear" w:color="auto" w:fill="E1E3F2"/>
          </w:tcPr>
          <w:p w14:paraId="5242B524" w14:textId="77777777" w:rsidR="002F6625" w:rsidRDefault="002F6625" w:rsidP="00A20143">
            <w:pPr>
              <w:pStyle w:val="TabletextrowsAgency"/>
            </w:pPr>
          </w:p>
        </w:tc>
        <w:tc>
          <w:tcPr>
            <w:tcW w:w="701" w:type="pct"/>
            <w:shd w:val="clear" w:color="auto" w:fill="E1E3F2"/>
          </w:tcPr>
          <w:p w14:paraId="642BFA85" w14:textId="77777777" w:rsidR="002F6625" w:rsidRDefault="002F6625" w:rsidP="00A20143">
            <w:pPr>
              <w:pStyle w:val="TabletextrowsAgency"/>
            </w:pPr>
          </w:p>
        </w:tc>
        <w:tc>
          <w:tcPr>
            <w:tcW w:w="2006" w:type="pct"/>
            <w:shd w:val="clear" w:color="auto" w:fill="E1E3F2"/>
          </w:tcPr>
          <w:p w14:paraId="0636B55C" w14:textId="77777777" w:rsidR="002F6625" w:rsidRDefault="002F6625" w:rsidP="000C067C">
            <w:pPr>
              <w:pStyle w:val="TabletextrowsAgency"/>
            </w:pPr>
          </w:p>
        </w:tc>
        <w:tc>
          <w:tcPr>
            <w:tcW w:w="1537" w:type="pct"/>
            <w:shd w:val="clear" w:color="auto" w:fill="E1E3F2"/>
          </w:tcPr>
          <w:p w14:paraId="7BD83341" w14:textId="77777777" w:rsidR="002F6625" w:rsidRDefault="002F6625" w:rsidP="00A20143">
            <w:pPr>
              <w:pStyle w:val="TabletextrowsAgency"/>
            </w:pPr>
          </w:p>
        </w:tc>
      </w:tr>
    </w:tbl>
    <w:p w14:paraId="6CE57FDA" w14:textId="77777777" w:rsidR="005D6621" w:rsidRDefault="005D6621">
      <w:pPr>
        <w:pStyle w:val="TableFigurenoteAgency"/>
      </w:pPr>
      <w:r>
        <w:t>Please add more rows if needed.</w:t>
      </w:r>
    </w:p>
    <w:p w14:paraId="367B7EAB" w14:textId="725AF6C2" w:rsidR="007E2706" w:rsidRPr="007E2706" w:rsidRDefault="007E2706" w:rsidP="007E2706">
      <w:pPr>
        <w:pStyle w:val="BodytextAgency"/>
        <w:jc w:val="center"/>
      </w:pPr>
    </w:p>
    <w:sectPr w:rsidR="007E2706" w:rsidRPr="007E2706">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A7CD9" w14:textId="77777777" w:rsidR="00F32648" w:rsidRDefault="00F32648">
      <w:r>
        <w:separator/>
      </w:r>
    </w:p>
  </w:endnote>
  <w:endnote w:type="continuationSeparator" w:id="0">
    <w:p w14:paraId="4DB5FA28" w14:textId="77777777" w:rsidR="00F32648" w:rsidRDefault="00F32648">
      <w:r>
        <w:continuationSeparator/>
      </w:r>
    </w:p>
  </w:endnote>
  <w:endnote w:type="continuationNotice" w:id="1">
    <w:p w14:paraId="2381CD23" w14:textId="77777777" w:rsidR="00F32648" w:rsidRDefault="00F32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F32648" w14:paraId="6CE57FE0" w14:textId="77777777">
      <w:tc>
        <w:tcPr>
          <w:tcW w:w="5000" w:type="pct"/>
          <w:gridSpan w:val="2"/>
          <w:tcBorders>
            <w:top w:val="single" w:sz="2" w:space="0" w:color="auto"/>
            <w:left w:val="nil"/>
            <w:bottom w:val="nil"/>
            <w:right w:val="nil"/>
          </w:tcBorders>
          <w:tcMar>
            <w:left w:w="0" w:type="dxa"/>
            <w:right w:w="0" w:type="dxa"/>
          </w:tcMar>
        </w:tcPr>
        <w:p w14:paraId="6CE57FDF" w14:textId="77777777" w:rsidR="00F32648" w:rsidRDefault="00F32648">
          <w:pPr>
            <w:pStyle w:val="FooterAgency"/>
          </w:pPr>
        </w:p>
      </w:tc>
    </w:tr>
    <w:tr w:rsidR="00F32648" w14:paraId="6CE57FE3" w14:textId="77777777">
      <w:trPr>
        <w:trHeight w:val="355"/>
      </w:trPr>
      <w:tc>
        <w:tcPr>
          <w:tcW w:w="3291" w:type="pct"/>
          <w:tcMar>
            <w:left w:w="0" w:type="dxa"/>
            <w:right w:w="0" w:type="dxa"/>
          </w:tcMar>
        </w:tcPr>
        <w:p w14:paraId="6CE57FE1" w14:textId="77777777" w:rsidR="00F32648" w:rsidRDefault="00F32648">
          <w:pPr>
            <w:pStyle w:val="FooterAgency"/>
          </w:pPr>
        </w:p>
      </w:tc>
      <w:tc>
        <w:tcPr>
          <w:tcW w:w="1709" w:type="pct"/>
          <w:tcMar>
            <w:left w:w="0" w:type="dxa"/>
            <w:right w:w="0" w:type="dxa"/>
          </w:tcMar>
        </w:tcPr>
        <w:p w14:paraId="6CE57FE2" w14:textId="77777777" w:rsidR="00F32648" w:rsidRDefault="00F32648">
          <w:pPr>
            <w:pStyle w:val="FooterAgency"/>
          </w:pPr>
        </w:p>
      </w:tc>
    </w:tr>
    <w:tr w:rsidR="00F32648" w14:paraId="6CE57FE6" w14:textId="77777777">
      <w:tc>
        <w:tcPr>
          <w:tcW w:w="3291" w:type="pct"/>
          <w:tcMar>
            <w:left w:w="0" w:type="dxa"/>
            <w:right w:w="0" w:type="dxa"/>
          </w:tcMar>
        </w:tcPr>
        <w:p w14:paraId="6CE57FE4" w14:textId="77777777" w:rsidR="00F32648" w:rsidRDefault="00F32648">
          <w:pPr>
            <w:pStyle w:val="FooterAgency"/>
          </w:pPr>
        </w:p>
      </w:tc>
      <w:tc>
        <w:tcPr>
          <w:tcW w:w="1709" w:type="pct"/>
          <w:tcMar>
            <w:left w:w="0" w:type="dxa"/>
            <w:right w:w="0" w:type="dxa"/>
          </w:tcMar>
        </w:tcPr>
        <w:p w14:paraId="6CE57FE5" w14:textId="77777777" w:rsidR="00F32648" w:rsidRDefault="00F32648">
          <w:pPr>
            <w:pStyle w:val="PagenumberAgency"/>
            <w:ind w:right="210"/>
          </w:pPr>
          <w:r>
            <w:fldChar w:fldCharType="begin"/>
          </w:r>
          <w:r>
            <w:instrText xml:space="preserve"> PAGE </w:instrText>
          </w:r>
          <w:r>
            <w:fldChar w:fldCharType="separate"/>
          </w:r>
          <w:r w:rsidR="00095652">
            <w:rPr>
              <w:noProof/>
            </w:rPr>
            <w:t>2</w:t>
          </w:r>
          <w:r>
            <w:fldChar w:fldCharType="end"/>
          </w:r>
          <w:r>
            <w:t>/</w:t>
          </w:r>
          <w:r>
            <w:fldChar w:fldCharType="begin"/>
          </w:r>
          <w:r>
            <w:instrText xml:space="preserve"> NUMPAGES </w:instrText>
          </w:r>
          <w:r>
            <w:fldChar w:fldCharType="separate"/>
          </w:r>
          <w:r w:rsidR="00095652">
            <w:rPr>
              <w:noProof/>
            </w:rPr>
            <w:t>18</w:t>
          </w:r>
          <w:r>
            <w:fldChar w:fldCharType="end"/>
          </w:r>
        </w:p>
      </w:tc>
    </w:tr>
  </w:tbl>
  <w:p w14:paraId="6CE57FE7" w14:textId="77777777" w:rsidR="00F32648" w:rsidRDefault="00F32648">
    <w:pPr>
      <w:pStyle w:val="FooterAgency"/>
      <w:rPr>
        <w:rStyle w:val="PageNumbe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F32648" w14:paraId="6CE57FEA" w14:textId="77777777">
      <w:tc>
        <w:tcPr>
          <w:tcW w:w="9413" w:type="dxa"/>
          <w:gridSpan w:val="2"/>
          <w:tcBorders>
            <w:top w:val="single" w:sz="2" w:space="0" w:color="auto"/>
            <w:left w:val="nil"/>
            <w:bottom w:val="nil"/>
            <w:right w:val="nil"/>
          </w:tcBorders>
          <w:tcMar>
            <w:left w:w="0" w:type="dxa"/>
            <w:right w:w="0" w:type="dxa"/>
          </w:tcMar>
          <w:vAlign w:val="bottom"/>
        </w:tcPr>
        <w:p w14:paraId="6CE57FE9" w14:textId="77777777" w:rsidR="00F32648" w:rsidRDefault="00F32648">
          <w:pPr>
            <w:pStyle w:val="FooterAgency"/>
          </w:pPr>
        </w:p>
      </w:tc>
    </w:tr>
    <w:tr w:rsidR="00F32648" w14:paraId="6CE57FF3" w14:textId="77777777">
      <w:trPr>
        <w:cantSplit/>
        <w:trHeight w:hRule="exact" w:val="198"/>
      </w:trPr>
      <w:tc>
        <w:tcPr>
          <w:tcW w:w="6206" w:type="dxa"/>
          <w:tcMar>
            <w:left w:w="0" w:type="dxa"/>
            <w:right w:w="0" w:type="dxa"/>
          </w:tcMar>
          <w:vAlign w:val="bottom"/>
        </w:tcPr>
        <w:p w14:paraId="6CE57FEB" w14:textId="77777777" w:rsidR="00F32648" w:rsidRDefault="00F32648">
          <w:pPr>
            <w:pStyle w:val="FooterAgency"/>
          </w:pPr>
          <w:r>
            <w:t xml:space="preserve">7 </w:t>
          </w:r>
          <w:proofErr w:type="spellStart"/>
          <w:r>
            <w:t>Westferry</w:t>
          </w:r>
          <w:proofErr w:type="spellEnd"/>
          <w:r>
            <w:t xml:space="preserve">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63"/>
            <w:gridCol w:w="744"/>
          </w:tblGrid>
          <w:tr w:rsidR="00F32648" w14:paraId="6CE57FEE" w14:textId="77777777">
            <w:trPr>
              <w:cantSplit/>
              <w:trHeight w:val="180"/>
              <w:tblHeader/>
              <w:jc w:val="right"/>
            </w:trPr>
            <w:tc>
              <w:tcPr>
                <w:tcW w:w="2478" w:type="dxa"/>
                <w:vMerge w:val="restart"/>
                <w:tcBorders>
                  <w:top w:val="nil"/>
                  <w:left w:val="nil"/>
                  <w:bottom w:val="nil"/>
                  <w:right w:val="nil"/>
                </w:tcBorders>
                <w:vAlign w:val="bottom"/>
              </w:tcPr>
              <w:p w14:paraId="6CE57FEC" w14:textId="77777777" w:rsidR="00F32648" w:rsidRDefault="00F32648">
                <w:pPr>
                  <w:pStyle w:val="FooterAgency"/>
                  <w:jc w:val="right"/>
                </w:pPr>
                <w:r>
                  <w:rPr>
                    <w:sz w:val="11"/>
                    <w:szCs w:val="11"/>
                  </w:rPr>
                  <w:t xml:space="preserve">An agency of the European Union  </w:t>
                </w:r>
              </w:p>
            </w:tc>
            <w:tc>
              <w:tcPr>
                <w:tcW w:w="709" w:type="dxa"/>
                <w:vMerge w:val="restart"/>
                <w:tcBorders>
                  <w:top w:val="nil"/>
                  <w:left w:val="nil"/>
                  <w:bottom w:val="nil"/>
                  <w:right w:val="nil"/>
                </w:tcBorders>
                <w:tcMar>
                  <w:right w:w="6" w:type="dxa"/>
                </w:tcMar>
                <w:vAlign w:val="bottom"/>
              </w:tcPr>
              <w:p w14:paraId="6CE57FED" w14:textId="77777777" w:rsidR="00F32648" w:rsidRDefault="00F32648">
                <w:pPr>
                  <w:pStyle w:val="FooterAgency"/>
                  <w:jc w:val="right"/>
                </w:pPr>
                <w:r>
                  <w:rPr>
                    <w:noProof/>
                    <w:lang w:val="en-US" w:eastAsia="en-US"/>
                  </w:rPr>
                  <w:drawing>
                    <wp:inline distT="0" distB="0" distL="0" distR="0" wp14:anchorId="6CE58008" wp14:editId="6CE58009">
                      <wp:extent cx="390525" cy="266700"/>
                      <wp:effectExtent l="0" t="0" r="9525" b="0"/>
                      <wp:docPr id="2" name="Picture 2"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p>
            </w:tc>
          </w:tr>
          <w:tr w:rsidR="00F32648" w14:paraId="6CE57FF1" w14:textId="77777777">
            <w:trPr>
              <w:cantSplit/>
              <w:trHeight w:val="390"/>
              <w:jc w:val="right"/>
            </w:trPr>
            <w:tc>
              <w:tcPr>
                <w:tcW w:w="2478" w:type="dxa"/>
                <w:vMerge/>
                <w:vAlign w:val="bottom"/>
              </w:tcPr>
              <w:p w14:paraId="6CE57FEF" w14:textId="77777777" w:rsidR="00F32648" w:rsidRDefault="00F32648">
                <w:pPr>
                  <w:pStyle w:val="FooterAgency"/>
                </w:pPr>
              </w:p>
            </w:tc>
            <w:tc>
              <w:tcPr>
                <w:tcW w:w="709" w:type="dxa"/>
                <w:vMerge/>
                <w:vAlign w:val="bottom"/>
              </w:tcPr>
              <w:p w14:paraId="6CE57FF0" w14:textId="77777777" w:rsidR="00F32648" w:rsidRDefault="00F32648">
                <w:pPr>
                  <w:pStyle w:val="FooterAgency"/>
                </w:pPr>
              </w:p>
            </w:tc>
          </w:tr>
        </w:tbl>
        <w:p w14:paraId="6CE57FF2" w14:textId="77777777" w:rsidR="00F32648" w:rsidRDefault="00F32648">
          <w:pPr>
            <w:pStyle w:val="FooterAgency"/>
            <w:widowControl w:val="0"/>
            <w:adjustRightInd w:val="0"/>
            <w:jc w:val="right"/>
          </w:pPr>
        </w:p>
      </w:tc>
    </w:tr>
    <w:tr w:rsidR="00F32648" w14:paraId="6CE58000"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F32648" w14:paraId="6CE57FF8" w14:textId="77777777">
            <w:trPr>
              <w:trHeight w:hRule="exact" w:val="198"/>
            </w:trPr>
            <w:tc>
              <w:tcPr>
                <w:tcW w:w="840" w:type="dxa"/>
                <w:gridSpan w:val="2"/>
                <w:vAlign w:val="bottom"/>
              </w:tcPr>
              <w:p w14:paraId="6CE57FF4" w14:textId="77777777" w:rsidR="00F32648" w:rsidRDefault="00F32648">
                <w:pPr>
                  <w:pStyle w:val="FooterblueAgency"/>
                </w:pPr>
                <w:r>
                  <w:t>Telephone</w:t>
                </w:r>
              </w:p>
            </w:tc>
            <w:tc>
              <w:tcPr>
                <w:tcW w:w="1648" w:type="dxa"/>
                <w:gridSpan w:val="2"/>
                <w:vAlign w:val="bottom"/>
              </w:tcPr>
              <w:p w14:paraId="6CE57FF5" w14:textId="77777777" w:rsidR="00F32648" w:rsidRDefault="00F32648">
                <w:pPr>
                  <w:pStyle w:val="FooterAgency"/>
                </w:pPr>
                <w:r>
                  <w:t>+44 (0)20 7418 8400</w:t>
                </w:r>
              </w:p>
            </w:tc>
            <w:tc>
              <w:tcPr>
                <w:tcW w:w="726" w:type="dxa"/>
                <w:gridSpan w:val="2"/>
                <w:vAlign w:val="bottom"/>
              </w:tcPr>
              <w:p w14:paraId="6CE57FF6" w14:textId="77777777" w:rsidR="00F32648" w:rsidRDefault="00F32648">
                <w:pPr>
                  <w:pStyle w:val="FooterblueAgency"/>
                </w:pPr>
                <w:r>
                  <w:t>Facsimile</w:t>
                </w:r>
              </w:p>
            </w:tc>
            <w:tc>
              <w:tcPr>
                <w:tcW w:w="2767" w:type="dxa"/>
                <w:vAlign w:val="bottom"/>
              </w:tcPr>
              <w:p w14:paraId="6CE57FF7" w14:textId="77777777" w:rsidR="00F32648" w:rsidRDefault="00F32648">
                <w:pPr>
                  <w:pStyle w:val="FooterAgency"/>
                </w:pPr>
                <w:r>
                  <w:t>+44 (0)20 7418 8416</w:t>
                </w:r>
              </w:p>
            </w:tc>
          </w:tr>
          <w:tr w:rsidR="00F32648" w14:paraId="6CE57FFD" w14:textId="77777777">
            <w:trPr>
              <w:trHeight w:hRule="exact" w:val="198"/>
            </w:trPr>
            <w:tc>
              <w:tcPr>
                <w:tcW w:w="522" w:type="dxa"/>
                <w:vAlign w:val="bottom"/>
              </w:tcPr>
              <w:p w14:paraId="6CE57FF9" w14:textId="77777777" w:rsidR="00F32648" w:rsidRDefault="00F32648">
                <w:pPr>
                  <w:pStyle w:val="FooterblueAgency"/>
                </w:pPr>
                <w:r>
                  <w:t>E-mail</w:t>
                </w:r>
              </w:p>
            </w:tc>
            <w:tc>
              <w:tcPr>
                <w:tcW w:w="1566" w:type="dxa"/>
                <w:gridSpan w:val="2"/>
                <w:vAlign w:val="bottom"/>
              </w:tcPr>
              <w:p w14:paraId="6CE57FFA" w14:textId="77777777" w:rsidR="00F32648" w:rsidRDefault="00F32648">
                <w:pPr>
                  <w:pStyle w:val="FooterAgency"/>
                </w:pPr>
                <w:r>
                  <w:t>info@ema.europa.eu</w:t>
                </w:r>
              </w:p>
            </w:tc>
            <w:tc>
              <w:tcPr>
                <w:tcW w:w="649" w:type="dxa"/>
                <w:gridSpan w:val="2"/>
                <w:vAlign w:val="bottom"/>
              </w:tcPr>
              <w:p w14:paraId="6CE57FFB" w14:textId="77777777" w:rsidR="00F32648" w:rsidRDefault="00F32648">
                <w:pPr>
                  <w:pStyle w:val="FooterblueAgency"/>
                </w:pPr>
                <w:r>
                  <w:t>Website</w:t>
                </w:r>
              </w:p>
            </w:tc>
            <w:tc>
              <w:tcPr>
                <w:tcW w:w="3244" w:type="dxa"/>
                <w:gridSpan w:val="2"/>
                <w:vAlign w:val="bottom"/>
              </w:tcPr>
              <w:p w14:paraId="6CE57FFC" w14:textId="77777777" w:rsidR="00F32648" w:rsidRDefault="00F32648">
                <w:pPr>
                  <w:pStyle w:val="FooterAgency"/>
                </w:pPr>
                <w:r>
                  <w:t>www.ema.europa.eu</w:t>
                </w:r>
              </w:p>
            </w:tc>
          </w:tr>
        </w:tbl>
        <w:p w14:paraId="6CE57FFE" w14:textId="77777777" w:rsidR="00F32648" w:rsidRDefault="00F32648">
          <w:pPr>
            <w:pStyle w:val="FooterAgency"/>
          </w:pPr>
        </w:p>
      </w:tc>
      <w:tc>
        <w:tcPr>
          <w:tcW w:w="3207" w:type="dxa"/>
          <w:vMerge/>
          <w:tcMar>
            <w:left w:w="0" w:type="dxa"/>
            <w:right w:w="0" w:type="dxa"/>
          </w:tcMar>
          <w:vAlign w:val="bottom"/>
        </w:tcPr>
        <w:p w14:paraId="6CE57FFF" w14:textId="77777777" w:rsidR="00F32648" w:rsidRDefault="00F32648">
          <w:pPr>
            <w:pStyle w:val="FooterAgency"/>
          </w:pPr>
        </w:p>
      </w:tc>
    </w:tr>
    <w:tr w:rsidR="00F32648" w14:paraId="6CE58002" w14:textId="77777777">
      <w:tc>
        <w:tcPr>
          <w:tcW w:w="9413" w:type="dxa"/>
          <w:gridSpan w:val="2"/>
          <w:tcMar>
            <w:left w:w="0" w:type="dxa"/>
            <w:right w:w="0" w:type="dxa"/>
          </w:tcMar>
          <w:vAlign w:val="bottom"/>
        </w:tcPr>
        <w:p w14:paraId="6CE58001" w14:textId="77777777" w:rsidR="00F32648" w:rsidRDefault="00F32648">
          <w:pPr>
            <w:pStyle w:val="FooterAgency"/>
          </w:pPr>
        </w:p>
      </w:tc>
    </w:tr>
    <w:tr w:rsidR="00F32648" w14:paraId="6CE58004" w14:textId="77777777">
      <w:tc>
        <w:tcPr>
          <w:tcW w:w="9413" w:type="dxa"/>
          <w:gridSpan w:val="2"/>
          <w:tcMar>
            <w:left w:w="0" w:type="dxa"/>
            <w:right w:w="0" w:type="dxa"/>
          </w:tcMar>
          <w:vAlign w:val="bottom"/>
        </w:tcPr>
        <w:p w14:paraId="6CE58003" w14:textId="77777777" w:rsidR="00F32648" w:rsidRDefault="00F32648">
          <w:pPr>
            <w:pStyle w:val="FooterAgency"/>
            <w:jc w:val="center"/>
          </w:pPr>
        </w:p>
      </w:tc>
    </w:tr>
  </w:tbl>
  <w:p w14:paraId="6CE58005" w14:textId="77777777" w:rsidR="00F32648" w:rsidRDefault="00F32648">
    <w:pPr>
      <w:pStyle w:val="FooterAgency"/>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D09FD" w14:textId="77777777" w:rsidR="00F32648" w:rsidRDefault="00F32648">
      <w:r>
        <w:separator/>
      </w:r>
    </w:p>
  </w:footnote>
  <w:footnote w:type="continuationSeparator" w:id="0">
    <w:p w14:paraId="5D56296F" w14:textId="77777777" w:rsidR="00F32648" w:rsidRDefault="00F32648">
      <w:r>
        <w:continuationSeparator/>
      </w:r>
    </w:p>
  </w:footnote>
  <w:footnote w:type="continuationNotice" w:id="1">
    <w:p w14:paraId="5549A9D2" w14:textId="77777777" w:rsidR="00F32648" w:rsidRDefault="00F3264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57FE8" w14:textId="77777777" w:rsidR="00F32648" w:rsidRDefault="00F32648">
    <w:pPr>
      <w:pStyle w:val="FooterAgency"/>
      <w:jc w:val="center"/>
    </w:pPr>
    <w:r>
      <w:rPr>
        <w:noProof/>
        <w:lang w:val="en-US" w:eastAsia="en-US"/>
      </w:rPr>
      <w:drawing>
        <wp:inline distT="0" distB="0" distL="0" distR="0" wp14:anchorId="6CE58006" wp14:editId="6CE58007">
          <wp:extent cx="3562350" cy="1800225"/>
          <wp:effectExtent l="0" t="0" r="0" b="9525"/>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350" cy="1800225"/>
                  </a:xfrm>
                  <a:prstGeom prst="rect">
                    <a:avLst/>
                  </a:prstGeom>
                  <a:noFill/>
                  <a:ln>
                    <a:noFill/>
                  </a:ln>
                </pic:spPr>
              </pic:pic>
            </a:graphicData>
          </a:graphic>
        </wp:inline>
      </w:drawing>
    </w:r>
    <w:r>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AC67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4">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5">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1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6">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8">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1"/>
  </w:num>
  <w:num w:numId="2">
    <w:abstractNumId w:val="13"/>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5"/>
  </w:num>
  <w:num w:numId="13">
    <w:abstractNumId w:val="12"/>
  </w:num>
  <w:num w:numId="14">
    <w:abstractNumId w:val="18"/>
  </w:num>
  <w:num w:numId="15">
    <w:abstractNumId w:val="14"/>
  </w:num>
  <w:num w:numId="16">
    <w:abstractNumId w:val="16"/>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1"/>
  </w:num>
  <w:num w:numId="28">
    <w:abstractNumId w:val="13"/>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5"/>
  </w:num>
  <w:num w:numId="39">
    <w:abstractNumId w:val="12"/>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B3"/>
    <w:rsid w:val="00015C60"/>
    <w:rsid w:val="00021684"/>
    <w:rsid w:val="000234F7"/>
    <w:rsid w:val="00046833"/>
    <w:rsid w:val="00066668"/>
    <w:rsid w:val="00070A48"/>
    <w:rsid w:val="00093EFE"/>
    <w:rsid w:val="00095521"/>
    <w:rsid w:val="00095652"/>
    <w:rsid w:val="00096D3B"/>
    <w:rsid w:val="000A278B"/>
    <w:rsid w:val="000A7FD5"/>
    <w:rsid w:val="000C067C"/>
    <w:rsid w:val="000C099B"/>
    <w:rsid w:val="000C2CCD"/>
    <w:rsid w:val="000C49EA"/>
    <w:rsid w:val="000D15C7"/>
    <w:rsid w:val="000F1F56"/>
    <w:rsid w:val="000F7CB4"/>
    <w:rsid w:val="00126371"/>
    <w:rsid w:val="00140324"/>
    <w:rsid w:val="001515D3"/>
    <w:rsid w:val="001538C9"/>
    <w:rsid w:val="00165C64"/>
    <w:rsid w:val="00182318"/>
    <w:rsid w:val="0019273B"/>
    <w:rsid w:val="001A3C22"/>
    <w:rsid w:val="001C2C42"/>
    <w:rsid w:val="001F1B58"/>
    <w:rsid w:val="001F3855"/>
    <w:rsid w:val="002027F4"/>
    <w:rsid w:val="00223379"/>
    <w:rsid w:val="00231FAC"/>
    <w:rsid w:val="00244EFE"/>
    <w:rsid w:val="00261335"/>
    <w:rsid w:val="00263150"/>
    <w:rsid w:val="00264A54"/>
    <w:rsid w:val="0028154E"/>
    <w:rsid w:val="00297A4B"/>
    <w:rsid w:val="002C4F54"/>
    <w:rsid w:val="002C625B"/>
    <w:rsid w:val="002F6625"/>
    <w:rsid w:val="00303AD7"/>
    <w:rsid w:val="00312054"/>
    <w:rsid w:val="00325F19"/>
    <w:rsid w:val="003424DD"/>
    <w:rsid w:val="00360F7A"/>
    <w:rsid w:val="00361B81"/>
    <w:rsid w:val="00361F32"/>
    <w:rsid w:val="00367528"/>
    <w:rsid w:val="00375B18"/>
    <w:rsid w:val="0038170E"/>
    <w:rsid w:val="00394F5F"/>
    <w:rsid w:val="003A0AF1"/>
    <w:rsid w:val="003A353A"/>
    <w:rsid w:val="003C118D"/>
    <w:rsid w:val="003C138B"/>
    <w:rsid w:val="003C4D35"/>
    <w:rsid w:val="003D7CA3"/>
    <w:rsid w:val="003E7B44"/>
    <w:rsid w:val="00402431"/>
    <w:rsid w:val="00414EAB"/>
    <w:rsid w:val="00426FEA"/>
    <w:rsid w:val="0045621C"/>
    <w:rsid w:val="004569FB"/>
    <w:rsid w:val="004716C8"/>
    <w:rsid w:val="00472B76"/>
    <w:rsid w:val="00483F93"/>
    <w:rsid w:val="00493566"/>
    <w:rsid w:val="004A383E"/>
    <w:rsid w:val="004C10F6"/>
    <w:rsid w:val="004C1DCF"/>
    <w:rsid w:val="004D050D"/>
    <w:rsid w:val="004E7520"/>
    <w:rsid w:val="004F5477"/>
    <w:rsid w:val="004F7E2C"/>
    <w:rsid w:val="005019E5"/>
    <w:rsid w:val="00507420"/>
    <w:rsid w:val="00511464"/>
    <w:rsid w:val="00513DB5"/>
    <w:rsid w:val="00553F78"/>
    <w:rsid w:val="0055501B"/>
    <w:rsid w:val="00556AA0"/>
    <w:rsid w:val="0055738A"/>
    <w:rsid w:val="00564CAB"/>
    <w:rsid w:val="00566ECD"/>
    <w:rsid w:val="005753F4"/>
    <w:rsid w:val="005C36F0"/>
    <w:rsid w:val="005D6621"/>
    <w:rsid w:val="005E7780"/>
    <w:rsid w:val="005E79D9"/>
    <w:rsid w:val="005F2C56"/>
    <w:rsid w:val="00605C56"/>
    <w:rsid w:val="006207BE"/>
    <w:rsid w:val="00642B5C"/>
    <w:rsid w:val="00642F59"/>
    <w:rsid w:val="00655075"/>
    <w:rsid w:val="00671C11"/>
    <w:rsid w:val="00680018"/>
    <w:rsid w:val="00681415"/>
    <w:rsid w:val="00690DD2"/>
    <w:rsid w:val="006D4ABF"/>
    <w:rsid w:val="006F357D"/>
    <w:rsid w:val="00710187"/>
    <w:rsid w:val="007340ED"/>
    <w:rsid w:val="007451C4"/>
    <w:rsid w:val="00747613"/>
    <w:rsid w:val="0079267A"/>
    <w:rsid w:val="00796F64"/>
    <w:rsid w:val="007A46B8"/>
    <w:rsid w:val="007A59DD"/>
    <w:rsid w:val="007A763C"/>
    <w:rsid w:val="007C0578"/>
    <w:rsid w:val="007E2706"/>
    <w:rsid w:val="007E792B"/>
    <w:rsid w:val="00835B56"/>
    <w:rsid w:val="008405BE"/>
    <w:rsid w:val="008435AF"/>
    <w:rsid w:val="00845277"/>
    <w:rsid w:val="00851CB2"/>
    <w:rsid w:val="00856EF9"/>
    <w:rsid w:val="008618B2"/>
    <w:rsid w:val="00883701"/>
    <w:rsid w:val="00886183"/>
    <w:rsid w:val="00891BB6"/>
    <w:rsid w:val="008A0927"/>
    <w:rsid w:val="008D487F"/>
    <w:rsid w:val="008E1A93"/>
    <w:rsid w:val="008E4932"/>
    <w:rsid w:val="008F0457"/>
    <w:rsid w:val="00913FB3"/>
    <w:rsid w:val="00922D9C"/>
    <w:rsid w:val="00924E4B"/>
    <w:rsid w:val="00927D6C"/>
    <w:rsid w:val="00945EB1"/>
    <w:rsid w:val="00946EBF"/>
    <w:rsid w:val="00955E52"/>
    <w:rsid w:val="009573BD"/>
    <w:rsid w:val="00974E7A"/>
    <w:rsid w:val="009A4607"/>
    <w:rsid w:val="009A771A"/>
    <w:rsid w:val="009B1803"/>
    <w:rsid w:val="00A00DD0"/>
    <w:rsid w:val="00A14E2B"/>
    <w:rsid w:val="00A20143"/>
    <w:rsid w:val="00A20706"/>
    <w:rsid w:val="00A25180"/>
    <w:rsid w:val="00A37225"/>
    <w:rsid w:val="00A430CB"/>
    <w:rsid w:val="00A4431E"/>
    <w:rsid w:val="00A57935"/>
    <w:rsid w:val="00A70F8E"/>
    <w:rsid w:val="00A85F19"/>
    <w:rsid w:val="00A86F65"/>
    <w:rsid w:val="00AA3123"/>
    <w:rsid w:val="00AD056F"/>
    <w:rsid w:val="00AD057F"/>
    <w:rsid w:val="00AD778A"/>
    <w:rsid w:val="00AD7F01"/>
    <w:rsid w:val="00AE249B"/>
    <w:rsid w:val="00AE37F3"/>
    <w:rsid w:val="00AF125E"/>
    <w:rsid w:val="00B14180"/>
    <w:rsid w:val="00B219BA"/>
    <w:rsid w:val="00B24BB8"/>
    <w:rsid w:val="00B33F05"/>
    <w:rsid w:val="00B43444"/>
    <w:rsid w:val="00B56F10"/>
    <w:rsid w:val="00B57AA0"/>
    <w:rsid w:val="00B6027B"/>
    <w:rsid w:val="00B618BA"/>
    <w:rsid w:val="00B64545"/>
    <w:rsid w:val="00B75BAD"/>
    <w:rsid w:val="00B86202"/>
    <w:rsid w:val="00BA35CD"/>
    <w:rsid w:val="00BA7431"/>
    <w:rsid w:val="00BD1949"/>
    <w:rsid w:val="00BE7003"/>
    <w:rsid w:val="00C35ABB"/>
    <w:rsid w:val="00C7762B"/>
    <w:rsid w:val="00C92557"/>
    <w:rsid w:val="00CA0C1A"/>
    <w:rsid w:val="00CB171C"/>
    <w:rsid w:val="00CB22FF"/>
    <w:rsid w:val="00CB66CC"/>
    <w:rsid w:val="00CC3452"/>
    <w:rsid w:val="00CD21C0"/>
    <w:rsid w:val="00CE7221"/>
    <w:rsid w:val="00CF23C2"/>
    <w:rsid w:val="00D142CF"/>
    <w:rsid w:val="00D41318"/>
    <w:rsid w:val="00D70FCB"/>
    <w:rsid w:val="00D76622"/>
    <w:rsid w:val="00D853D0"/>
    <w:rsid w:val="00DA3E76"/>
    <w:rsid w:val="00DC25B3"/>
    <w:rsid w:val="00DD6BE2"/>
    <w:rsid w:val="00DE61C8"/>
    <w:rsid w:val="00E03B6E"/>
    <w:rsid w:val="00E15C14"/>
    <w:rsid w:val="00E632B1"/>
    <w:rsid w:val="00E8175D"/>
    <w:rsid w:val="00E82F0E"/>
    <w:rsid w:val="00E844AB"/>
    <w:rsid w:val="00EA2AAF"/>
    <w:rsid w:val="00EB6901"/>
    <w:rsid w:val="00ED76B6"/>
    <w:rsid w:val="00ED7718"/>
    <w:rsid w:val="00EE1E59"/>
    <w:rsid w:val="00F05049"/>
    <w:rsid w:val="00F10C8B"/>
    <w:rsid w:val="00F163A1"/>
    <w:rsid w:val="00F26412"/>
    <w:rsid w:val="00F32648"/>
    <w:rsid w:val="00F47916"/>
    <w:rsid w:val="00F60708"/>
    <w:rsid w:val="00F65FE7"/>
    <w:rsid w:val="00F67527"/>
    <w:rsid w:val="00F7161D"/>
    <w:rsid w:val="00F906ED"/>
    <w:rsid w:val="00FA319E"/>
    <w:rsid w:val="00FC0054"/>
    <w:rsid w:val="00FC22F0"/>
    <w:rsid w:val="00FC73A9"/>
    <w:rsid w:val="00FD6FCE"/>
    <w:rsid w:val="00FF1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CE57F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annotation text" w:uiPriority="9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s="Verdana"/>
      <w:sz w:val="18"/>
      <w:szCs w:val="18"/>
      <w:lang w:val="en-GB"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pPr>
      <w:spacing w:after="140" w:line="280" w:lineRule="atLeast"/>
    </w:pPr>
    <w:rPr>
      <w:rFonts w:eastAsia="Verdana"/>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Heading3Agency">
    <w:name w:val="Heading 3 (Agency)"/>
    <w:basedOn w:val="Normal"/>
    <w:next w:val="BodytextAgency"/>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pPr>
      <w:numPr>
        <w:ilvl w:val="0"/>
        <w:numId w:val="0"/>
      </w:numPr>
    </w:p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No-numheading6Agency">
    <w:name w:val="No-num heading 6 (Agency)"/>
    <w:basedOn w:val="No-numheading5Agency"/>
    <w:next w:val="BodytextAgency"/>
    <w:semiHidden/>
    <w:pPr>
      <w:outlineLvl w:val="5"/>
    </w:pPr>
  </w:style>
  <w:style w:type="paragraph" w:customStyle="1" w:styleId="No-numheading5Agency">
    <w:name w:val="No-num heading 5 (Agency)"/>
    <w:basedOn w:val="Heading5Agency"/>
    <w:next w:val="BodytextAgency"/>
    <w:semiHidden/>
    <w:pPr>
      <w:numPr>
        <w:ilvl w:val="0"/>
        <w:numId w:val="0"/>
      </w:numPr>
    </w:p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semiHidden/>
    <w:rPr>
      <w:rFonts w:eastAsia="Verdana"/>
      <w:color w:val="6D6F71"/>
      <w:sz w:val="14"/>
      <w:szCs w:val="14"/>
      <w:lang w:eastAsia="en-GB"/>
    </w:rPr>
  </w:style>
  <w:style w:type="paragraph" w:customStyle="1" w:styleId="FooterblueAgency">
    <w:name w:val="Footer blue (Agency)"/>
    <w:basedOn w:val="Normal"/>
    <w:semiHidden/>
    <w:rPr>
      <w:rFonts w:eastAsia="Verdana"/>
      <w:b/>
      <w:color w:val="003399"/>
      <w:sz w:val="13"/>
      <w:szCs w:val="14"/>
      <w:lang w:eastAsia="en-GB"/>
    </w:rPr>
  </w:style>
  <w:style w:type="character" w:customStyle="1" w:styleId="FooterAgencyCharChar">
    <w:name w:val="Footer (Agency) Char Char"/>
    <w:semiHidden/>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Pr>
      <w:rFonts w:ascii="Verdana" w:eastAsia="Verdana" w:hAnsi="Verdana" w:cs="Verdana"/>
      <w:b/>
      <w:color w:val="003399"/>
      <w:sz w:val="13"/>
      <w:szCs w:val="14"/>
      <w:lang w:val="en-GB" w:eastAsia="en-GB" w:bidi="ar-SA"/>
    </w:rPr>
  </w:style>
  <w:style w:type="paragraph" w:styleId="BodyText">
    <w:name w:val="Body Text"/>
    <w:basedOn w:val="Normal"/>
    <w:semiHidden/>
    <w:pPr>
      <w:spacing w:after="140" w:line="280" w:lineRule="atLeast"/>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28"/>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rmalAgency">
    <w:name w:val="Normal (Agency)"/>
    <w:rPr>
      <w:rFonts w:ascii="Verdana" w:eastAsia="Verdana" w:hAnsi="Verdana" w:cs="Verdana"/>
      <w:sz w:val="18"/>
      <w:szCs w:val="18"/>
      <w:lang w:val="en-GB" w:eastAsia="en-GB"/>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paragraph" w:customStyle="1" w:styleId="TableheadingAgency">
    <w:name w:val="Table heading (Agency)"/>
    <w:basedOn w:val="Normal"/>
    <w:next w:val="BodytextAgency"/>
    <w:semiHidden/>
    <w:pPr>
      <w:keepNext/>
      <w:numPr>
        <w:numId w:val="39"/>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7"/>
      </w:numPr>
    </w:pPr>
  </w:style>
  <w:style w:type="paragraph" w:styleId="ListBullet2">
    <w:name w:val="List Bullet 2"/>
    <w:basedOn w:val="Normal"/>
    <w:semiHidden/>
    <w:pPr>
      <w:numPr>
        <w:numId w:val="18"/>
      </w:numPr>
    </w:pPr>
  </w:style>
  <w:style w:type="paragraph" w:styleId="ListBullet3">
    <w:name w:val="List Bullet 3"/>
    <w:basedOn w:val="Normal"/>
    <w:semiHidden/>
    <w:pPr>
      <w:numPr>
        <w:numId w:val="19"/>
      </w:numPr>
    </w:pPr>
  </w:style>
  <w:style w:type="paragraph" w:styleId="ListBullet4">
    <w:name w:val="List Bullet 4"/>
    <w:basedOn w:val="Normal"/>
    <w:semiHidden/>
    <w:pPr>
      <w:numPr>
        <w:numId w:val="20"/>
      </w:numPr>
    </w:pPr>
  </w:style>
  <w:style w:type="paragraph" w:styleId="ListBullet5">
    <w:name w:val="List Bullet 5"/>
    <w:basedOn w:val="Normal"/>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rPr>
      <w:rFonts w:ascii="Verdana" w:eastAsia="Verdana" w:hAnsi="Verdana" w:cs="Verdana"/>
      <w:sz w:val="24"/>
      <w:szCs w:val="24"/>
      <w:lang w:val="en-GB" w:eastAsia="en-GB" w:bidi="ar-SA"/>
    </w:rPr>
  </w:style>
  <w:style w:type="character" w:customStyle="1" w:styleId="BodytextAgencyChar">
    <w:name w:val="Body text (Agency) Char"/>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paragraph" w:customStyle="1" w:styleId="Default">
    <w:name w:val="Default"/>
    <w:rsid w:val="00EE1E59"/>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B6027B"/>
    <w:pPr>
      <w:spacing w:after="200" w:line="276" w:lineRule="auto"/>
      <w:ind w:left="720"/>
      <w:contextualSpacing/>
    </w:pPr>
    <w:rPr>
      <w:rFonts w:ascii="Calibri" w:eastAsia="Calibri" w:hAnsi="Calibri" w:cs="Times New Roman"/>
      <w:sz w:val="22"/>
      <w:szCs w:val="22"/>
      <w:lang w:val="en-US" w:eastAsia="en-US"/>
    </w:rPr>
  </w:style>
  <w:style w:type="character" w:customStyle="1" w:styleId="CommentTextChar">
    <w:name w:val="Comment Text Char"/>
    <w:link w:val="CommentText"/>
    <w:uiPriority w:val="99"/>
    <w:rsid w:val="00747613"/>
    <w:rPr>
      <w:rFonts w:ascii="Verdana" w:hAnsi="Verdana" w:cs="Verdana"/>
      <w:lang w:val="en-GB" w:eastAsia="zh-CN"/>
    </w:rPr>
  </w:style>
  <w:style w:type="paragraph" w:styleId="Revision">
    <w:name w:val="Revision"/>
    <w:hidden/>
    <w:uiPriority w:val="99"/>
    <w:semiHidden/>
    <w:rsid w:val="000A7FD5"/>
    <w:rPr>
      <w:rFonts w:ascii="Verdana" w:hAnsi="Verdana" w:cs="Verdana"/>
      <w:sz w:val="18"/>
      <w:szCs w:val="18"/>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annotation text" w:uiPriority="9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cs="Verdana"/>
      <w:sz w:val="18"/>
      <w:szCs w:val="18"/>
      <w:lang w:val="en-GB"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pPr>
      <w:spacing w:after="140" w:line="280" w:lineRule="atLeast"/>
    </w:pPr>
    <w:rPr>
      <w:rFonts w:eastAsia="Verdana"/>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Heading3Agency">
    <w:name w:val="Heading 3 (Agency)"/>
    <w:basedOn w:val="Normal"/>
    <w:next w:val="BodytextAgency"/>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pPr>
      <w:numPr>
        <w:ilvl w:val="0"/>
        <w:numId w:val="0"/>
      </w:numPr>
    </w:p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No-numheading6Agency">
    <w:name w:val="No-num heading 6 (Agency)"/>
    <w:basedOn w:val="No-numheading5Agency"/>
    <w:next w:val="BodytextAgency"/>
    <w:semiHidden/>
    <w:pPr>
      <w:outlineLvl w:val="5"/>
    </w:pPr>
  </w:style>
  <w:style w:type="paragraph" w:customStyle="1" w:styleId="No-numheading5Agency">
    <w:name w:val="No-num heading 5 (Agency)"/>
    <w:basedOn w:val="Heading5Agency"/>
    <w:next w:val="BodytextAgency"/>
    <w:semiHidden/>
    <w:pPr>
      <w:numPr>
        <w:ilvl w:val="0"/>
        <w:numId w:val="0"/>
      </w:numPr>
    </w:p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semiHidden/>
    <w:rPr>
      <w:rFonts w:eastAsia="Verdana"/>
      <w:color w:val="6D6F71"/>
      <w:sz w:val="14"/>
      <w:szCs w:val="14"/>
      <w:lang w:eastAsia="en-GB"/>
    </w:rPr>
  </w:style>
  <w:style w:type="paragraph" w:customStyle="1" w:styleId="FooterblueAgency">
    <w:name w:val="Footer blue (Agency)"/>
    <w:basedOn w:val="Normal"/>
    <w:semiHidden/>
    <w:rPr>
      <w:rFonts w:eastAsia="Verdana"/>
      <w:b/>
      <w:color w:val="003399"/>
      <w:sz w:val="13"/>
      <w:szCs w:val="14"/>
      <w:lang w:eastAsia="en-GB"/>
    </w:rPr>
  </w:style>
  <w:style w:type="character" w:customStyle="1" w:styleId="FooterAgencyCharChar">
    <w:name w:val="Footer (Agency) Char Char"/>
    <w:semiHidden/>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Pr>
      <w:rFonts w:ascii="Verdana" w:eastAsia="Verdana" w:hAnsi="Verdana" w:cs="Verdana"/>
      <w:b/>
      <w:color w:val="003399"/>
      <w:sz w:val="13"/>
      <w:szCs w:val="14"/>
      <w:lang w:val="en-GB" w:eastAsia="en-GB" w:bidi="ar-SA"/>
    </w:rPr>
  </w:style>
  <w:style w:type="paragraph" w:styleId="BodyText">
    <w:name w:val="Body Text"/>
    <w:basedOn w:val="Normal"/>
    <w:semiHidden/>
    <w:pPr>
      <w:spacing w:after="140" w:line="280" w:lineRule="atLeast"/>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28"/>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rmalAgency">
    <w:name w:val="Normal (Agency)"/>
    <w:rPr>
      <w:rFonts w:ascii="Verdana" w:eastAsia="Verdana" w:hAnsi="Verdana" w:cs="Verdana"/>
      <w:sz w:val="18"/>
      <w:szCs w:val="18"/>
      <w:lang w:val="en-GB" w:eastAsia="en-GB"/>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paragraph" w:customStyle="1" w:styleId="RefAgency">
    <w:name w:val="Ref. (Agency)"/>
    <w:basedOn w:val="Normal"/>
    <w:semiHidden/>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paragraph" w:customStyle="1" w:styleId="TableheadingAgency">
    <w:name w:val="Table heading (Agency)"/>
    <w:basedOn w:val="Normal"/>
    <w:next w:val="BodytextAgency"/>
    <w:semiHidden/>
    <w:pPr>
      <w:keepNext/>
      <w:numPr>
        <w:numId w:val="39"/>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7"/>
      </w:numPr>
    </w:pPr>
  </w:style>
  <w:style w:type="paragraph" w:styleId="ListBullet2">
    <w:name w:val="List Bullet 2"/>
    <w:basedOn w:val="Normal"/>
    <w:semiHidden/>
    <w:pPr>
      <w:numPr>
        <w:numId w:val="18"/>
      </w:numPr>
    </w:pPr>
  </w:style>
  <w:style w:type="paragraph" w:styleId="ListBullet3">
    <w:name w:val="List Bullet 3"/>
    <w:basedOn w:val="Normal"/>
    <w:semiHidden/>
    <w:pPr>
      <w:numPr>
        <w:numId w:val="19"/>
      </w:numPr>
    </w:pPr>
  </w:style>
  <w:style w:type="paragraph" w:styleId="ListBullet4">
    <w:name w:val="List Bullet 4"/>
    <w:basedOn w:val="Normal"/>
    <w:semiHidden/>
    <w:pPr>
      <w:numPr>
        <w:numId w:val="20"/>
      </w:numPr>
    </w:pPr>
  </w:style>
  <w:style w:type="paragraph" w:styleId="ListBullet5">
    <w:name w:val="List Bullet 5"/>
    <w:basedOn w:val="Normal"/>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rPr>
      <w:rFonts w:ascii="Verdana" w:eastAsia="Verdana" w:hAnsi="Verdana" w:cs="Verdana"/>
      <w:sz w:val="24"/>
      <w:szCs w:val="24"/>
      <w:lang w:val="en-GB" w:eastAsia="en-GB" w:bidi="ar-SA"/>
    </w:rPr>
  </w:style>
  <w:style w:type="character" w:customStyle="1" w:styleId="BodytextAgencyChar">
    <w:name w:val="Body text (Agency) Char"/>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paragraph" w:customStyle="1" w:styleId="Default">
    <w:name w:val="Default"/>
    <w:rsid w:val="00EE1E59"/>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B6027B"/>
    <w:pPr>
      <w:spacing w:after="200" w:line="276" w:lineRule="auto"/>
      <w:ind w:left="720"/>
      <w:contextualSpacing/>
    </w:pPr>
    <w:rPr>
      <w:rFonts w:ascii="Calibri" w:eastAsia="Calibri" w:hAnsi="Calibri" w:cs="Times New Roman"/>
      <w:sz w:val="22"/>
      <w:szCs w:val="22"/>
      <w:lang w:val="en-US" w:eastAsia="en-US"/>
    </w:rPr>
  </w:style>
  <w:style w:type="character" w:customStyle="1" w:styleId="CommentTextChar">
    <w:name w:val="Comment Text Char"/>
    <w:link w:val="CommentText"/>
    <w:uiPriority w:val="99"/>
    <w:rsid w:val="00747613"/>
    <w:rPr>
      <w:rFonts w:ascii="Verdana" w:hAnsi="Verdana" w:cs="Verdana"/>
      <w:lang w:val="en-GB" w:eastAsia="zh-CN"/>
    </w:rPr>
  </w:style>
  <w:style w:type="paragraph" w:styleId="Revision">
    <w:name w:val="Revision"/>
    <w:hidden/>
    <w:uiPriority w:val="99"/>
    <w:semiHidden/>
    <w:rsid w:val="000A7FD5"/>
    <w:rPr>
      <w:rFonts w:ascii="Verdana" w:hAnsi="Verdana" w:cs="Verdana"/>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0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cy_x002f_Country xmlns="a1c2d5f0-a511-419b-858d-df8802c8feb9">Europe</Agency_x002f_Country>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258E64EB5CD74E981EC02ECDD51BAD" ma:contentTypeVersion="2" ma:contentTypeDescription="Create a new document." ma:contentTypeScope="" ma:versionID="e03bf90f58535642b0670b34de1b66ca">
  <xsd:schema xmlns:xsd="http://www.w3.org/2001/XMLSchema" xmlns:xs="http://www.w3.org/2001/XMLSchema" xmlns:p="http://schemas.microsoft.com/office/2006/metadata/properties" xmlns:ns1="http://schemas.microsoft.com/sharepoint/v3" xmlns:ns2="a1c2d5f0-a511-419b-858d-df8802c8feb9" targetNamespace="http://schemas.microsoft.com/office/2006/metadata/properties" ma:root="true" ma:fieldsID="b0bb306381cde45673a19abad3760b88" ns1:_="" ns2:_="">
    <xsd:import namespace="http://schemas.microsoft.com/sharepoint/v3"/>
    <xsd:import namespace="a1c2d5f0-a511-419b-858d-df8802c8feb9"/>
    <xsd:element name="properties">
      <xsd:complexType>
        <xsd:sequence>
          <xsd:element name="documentManagement">
            <xsd:complexType>
              <xsd:all>
                <xsd:element ref="ns1:PublishingStartDate" minOccurs="0"/>
                <xsd:element ref="ns1:PublishingExpirationDate" minOccurs="0"/>
                <xsd:element ref="ns2:Agency_x002f_Count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c2d5f0-a511-419b-858d-df8802c8feb9" elementFormDefault="qualified">
    <xsd:import namespace="http://schemas.microsoft.com/office/2006/documentManagement/types"/>
    <xsd:import namespace="http://schemas.microsoft.com/office/infopath/2007/PartnerControls"/>
    <xsd:element name="Agency_x002f_Country" ma:index="10" nillable="true" ma:displayName="Agency/Country" ma:default="FDA" ma:format="Dropdown" ma:internalName="Agency_x002f_Country">
      <xsd:simpleType>
        <xsd:union memberTypes="dms:Text">
          <xsd:simpleType>
            <xsd:restriction base="dms:Choice">
              <xsd:enumeration value="FDA"/>
              <xsd:enumeration value="Europe"/>
              <xsd:enumeration value="Japa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CEA49-21D3-4CFE-9230-435623E57D6C}">
  <ds:schemaRefs>
    <ds:schemaRef ds:uri="http://schemas.microsoft.com/sharepoint/v3/contenttype/forms"/>
  </ds:schemaRefs>
</ds:datastoreItem>
</file>

<file path=customXml/itemProps2.xml><?xml version="1.0" encoding="utf-8"?>
<ds:datastoreItem xmlns:ds="http://schemas.openxmlformats.org/officeDocument/2006/customXml" ds:itemID="{4C58CCC6-BAC8-4C2C-883E-AD6DC960AE4D}">
  <ds:schemaRefs>
    <ds:schemaRef ds:uri="http://schemas.microsoft.com/office/2006/metadata/properties"/>
    <ds:schemaRef ds:uri="http://schemas.microsoft.com/office/infopath/2007/PartnerControls"/>
    <ds:schemaRef ds:uri="a1c2d5f0-a511-419b-858d-df8802c8feb9"/>
    <ds:schemaRef ds:uri="http://schemas.microsoft.com/sharepoint/v3"/>
  </ds:schemaRefs>
</ds:datastoreItem>
</file>

<file path=customXml/itemProps3.xml><?xml version="1.0" encoding="utf-8"?>
<ds:datastoreItem xmlns:ds="http://schemas.openxmlformats.org/officeDocument/2006/customXml" ds:itemID="{530E3CAA-EE5D-4DB9-B94A-43B6DB865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c2d5f0-a511-419b-858d-df8802c8f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E27A72-8DB7-754C-9DD0-4682E6085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3787</Words>
  <Characters>21590</Characters>
  <Application>Microsoft Macintosh Word</Application>
  <DocSecurity>8</DocSecurity>
  <Lines>179</Lines>
  <Paragraphs>50</Paragraphs>
  <ScaleCrop>false</ScaleCrop>
  <HeadingPairs>
    <vt:vector size="2" baseType="variant">
      <vt:variant>
        <vt:lpstr>Title</vt:lpstr>
      </vt:variant>
      <vt:variant>
        <vt:i4>1</vt:i4>
      </vt:variant>
    </vt:vector>
  </HeadingPairs>
  <TitlesOfParts>
    <vt:vector size="1" baseType="lpstr">
      <vt:lpstr>Form for submission of comments</vt:lpstr>
    </vt:vector>
  </TitlesOfParts>
  <Company>European Medicines Agency</Company>
  <LinksUpToDate>false</LinksUpToDate>
  <CharactersWithSpaces>25327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creator>European Medicines Agency</dc:creator>
  <dc:description>Template developed for European Medicines Agency by Fiona Lewis and Vanessa Crookes December 2009</dc:description>
  <cp:lastModifiedBy>Efpia</cp:lastModifiedBy>
  <cp:revision>8</cp:revision>
  <cp:lastPrinted>2010-02-03T14:38:00Z</cp:lastPrinted>
  <dcterms:created xsi:type="dcterms:W3CDTF">2017-06-30T09:12:00Z</dcterms:created>
  <dcterms:modified xsi:type="dcterms:W3CDTF">2017-07-05T07:29:00Z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y fmtid="{D5CDD505-2E9C-101B-9397-08002B2CF9AE}" pid="38" name="ContentTypeId">
    <vt:lpwstr>0x01010022258E64EB5CD74E981EC02ECDD51BAD</vt:lpwstr>
  </property>
</Properties>
</file>