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721AD" w14:textId="77777777" w:rsidR="005D6621" w:rsidRDefault="002E7A38">
      <w:pPr>
        <w:pStyle w:val="RefAgency"/>
        <w:tabs>
          <w:tab w:val="left" w:pos="1277"/>
        </w:tabs>
      </w:pPr>
      <w:bookmarkStart w:id="0" w:name="_GoBack"/>
      <w:bookmarkEnd w:id="0"/>
      <w:r>
        <w:t>5 January 2015</w:t>
      </w:r>
    </w:p>
    <w:p w14:paraId="6373A51D" w14:textId="77777777" w:rsidR="005D6621" w:rsidRDefault="005D6621">
      <w:pPr>
        <w:pStyle w:val="RefAgency"/>
        <w:tabs>
          <w:tab w:val="left" w:pos="1277"/>
        </w:tabs>
      </w:pPr>
    </w:p>
    <w:p w14:paraId="66923D5F" w14:textId="77777777" w:rsidR="005D6621" w:rsidRDefault="005D6621">
      <w:pPr>
        <w:pStyle w:val="RefAgency"/>
        <w:tabs>
          <w:tab w:val="left" w:pos="1277"/>
        </w:tabs>
      </w:pPr>
    </w:p>
    <w:p w14:paraId="13495EAC" w14:textId="77777777" w:rsidR="005D6621" w:rsidRDefault="005D6621">
      <w:pPr>
        <w:pStyle w:val="DoctitleAgency"/>
      </w:pPr>
      <w:bookmarkStart w:id="1" w:name="Head"/>
      <w:bookmarkEnd w:id="1"/>
      <w:r>
        <w:t>Submission of comments on '</w:t>
      </w:r>
      <w:r w:rsidR="00E678FA">
        <w:t>Draft concept paper on the revision of the guideline on the development of new medicinal products for the treatment of ulcerative colitis</w:t>
      </w:r>
      <w:r w:rsidR="00CD21C0">
        <w:t>’</w:t>
      </w:r>
      <w:r w:rsidR="00811BA8">
        <w:rPr>
          <w:szCs w:val="17"/>
        </w:rPr>
        <w:t xml:space="preserve"> </w:t>
      </w:r>
      <w:r w:rsidR="009C264B">
        <w:rPr>
          <w:szCs w:val="17"/>
        </w:rPr>
        <w:t>– EMA/CHMP/32</w:t>
      </w:r>
      <w:r w:rsidR="00811BA8">
        <w:rPr>
          <w:szCs w:val="17"/>
        </w:rPr>
        <w:t>7812/2014</w:t>
      </w:r>
    </w:p>
    <w:p w14:paraId="00C1BB50" w14:textId="77777777" w:rsidR="005D6621" w:rsidRDefault="005D6621">
      <w:pPr>
        <w:pStyle w:val="DocsubtitleAgency"/>
      </w:pPr>
    </w:p>
    <w:p w14:paraId="233BA2D6" w14:textId="77777777" w:rsidR="005D6621" w:rsidRDefault="005D6621">
      <w:pPr>
        <w:pStyle w:val="No-TOCheadingAgency"/>
      </w:pPr>
      <w:r>
        <w:t>Comments from:</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9629"/>
      </w:tblGrid>
      <w:tr w:rsidR="005D6621" w14:paraId="327DF0EB" w14:textId="77777777">
        <w:trPr>
          <w:tblHeader/>
        </w:trPr>
        <w:tc>
          <w:tcPr>
            <w:tcW w:w="5000" w:type="pct"/>
            <w:tcBorders>
              <w:top w:val="nil"/>
              <w:left w:val="nil"/>
              <w:bottom w:val="nil"/>
              <w:right w:val="nil"/>
            </w:tcBorders>
            <w:shd w:val="clear" w:color="auto" w:fill="003399"/>
          </w:tcPr>
          <w:p w14:paraId="41E2BD1E" w14:textId="77777777" w:rsidR="005D6621" w:rsidRDefault="005D6621">
            <w:pPr>
              <w:pStyle w:val="TableheadingrowsAgency"/>
              <w:rPr>
                <w:b w:val="0"/>
              </w:rPr>
            </w:pPr>
            <w:r>
              <w:rPr>
                <w:b w:val="0"/>
              </w:rPr>
              <w:t>Name of organisation or individual</w:t>
            </w:r>
          </w:p>
        </w:tc>
      </w:tr>
      <w:tr w:rsidR="005D6621" w:rsidRPr="001600EF" w14:paraId="4A5106C0" w14:textId="77777777">
        <w:tc>
          <w:tcPr>
            <w:tcW w:w="5000" w:type="pct"/>
            <w:shd w:val="clear" w:color="auto" w:fill="E1E3F2"/>
          </w:tcPr>
          <w:p w14:paraId="24902E68" w14:textId="77777777" w:rsidR="005D6621" w:rsidRPr="007C7126" w:rsidRDefault="004A383E" w:rsidP="00212AB1">
            <w:pPr>
              <w:pStyle w:val="TabletextrowsAgency"/>
              <w:rPr>
                <w:lang w:val="fr-FR"/>
              </w:rPr>
            </w:pPr>
            <w:r w:rsidRPr="007C7126">
              <w:rPr>
                <w:lang w:val="fr-FR"/>
              </w:rPr>
              <w:t xml:space="preserve">EFPIA </w:t>
            </w:r>
            <w:r w:rsidR="00212AB1" w:rsidRPr="007C7126">
              <w:rPr>
                <w:lang w:val="fr-FR"/>
              </w:rPr>
              <w:t>–</w:t>
            </w:r>
            <w:r w:rsidRPr="007C7126">
              <w:rPr>
                <w:lang w:val="fr-FR"/>
              </w:rPr>
              <w:t xml:space="preserve"> </w:t>
            </w:r>
            <w:r w:rsidR="00212AB1" w:rsidRPr="007C7126">
              <w:rPr>
                <w:lang w:val="fr-FR"/>
              </w:rPr>
              <w:t>Sylvie Meillerais</w:t>
            </w:r>
            <w:r w:rsidR="00297A4B" w:rsidRPr="007C7126">
              <w:rPr>
                <w:lang w:val="fr-FR"/>
              </w:rPr>
              <w:t xml:space="preserve"> (</w:t>
            </w:r>
            <w:hyperlink r:id="rId9" w:history="1">
              <w:r w:rsidR="00212AB1" w:rsidRPr="00212AB1">
                <w:rPr>
                  <w:rStyle w:val="Hyperlink"/>
                  <w:rFonts w:cs="Arial"/>
                  <w:lang w:val="de-CH"/>
                </w:rPr>
                <w:t>sylvie.meillerais@efpia.eu</w:t>
              </w:r>
            </w:hyperlink>
            <w:r w:rsidR="00B56F10" w:rsidRPr="007C7126">
              <w:rPr>
                <w:lang w:val="fr-FR"/>
              </w:rPr>
              <w:t>)</w:t>
            </w:r>
          </w:p>
        </w:tc>
      </w:tr>
    </w:tbl>
    <w:p w14:paraId="217CCBB8" w14:textId="77777777" w:rsidR="005D6621" w:rsidRPr="007C7126" w:rsidRDefault="005D6621">
      <w:pPr>
        <w:pStyle w:val="BodytextAgency"/>
        <w:rPr>
          <w:lang w:val="fr-FR"/>
        </w:rPr>
      </w:pPr>
    </w:p>
    <w:p w14:paraId="4BA00EC3" w14:textId="77777777" w:rsidR="005D6621" w:rsidRDefault="005D6621">
      <w:pPr>
        <w:pStyle w:val="BodytextAgency"/>
        <w:rPr>
          <w:i/>
        </w:rPr>
      </w:pPr>
      <w:r>
        <w:rPr>
          <w:i/>
        </w:rPr>
        <w:t>Please note that these comments and the identity of the sender will be published unless a specific justified objection is received.</w:t>
      </w:r>
    </w:p>
    <w:p w14:paraId="56631C2A" w14:textId="77777777" w:rsidR="005D6621" w:rsidRDefault="005D6621">
      <w:pPr>
        <w:pStyle w:val="BodytextAgency"/>
        <w:rPr>
          <w:i/>
        </w:rPr>
      </w:pPr>
      <w:r>
        <w:rPr>
          <w:i/>
        </w:rPr>
        <w:t>When completed, this form should be sent to the European Medicines Agency electronically, in Word format (not PDF).</w:t>
      </w:r>
    </w:p>
    <w:p w14:paraId="333C627B" w14:textId="77777777" w:rsidR="005D6621" w:rsidRDefault="005D6621">
      <w:pPr>
        <w:pStyle w:val="BodytextAgency"/>
      </w:pPr>
    </w:p>
    <w:p w14:paraId="2E9ADFC0" w14:textId="77777777" w:rsidR="005D6621" w:rsidRDefault="005D6621">
      <w:pPr>
        <w:pStyle w:val="BodytextAgency"/>
      </w:pPr>
    </w:p>
    <w:p w14:paraId="0686A524" w14:textId="77777777" w:rsidR="005D6621" w:rsidRDefault="005D6621">
      <w:pPr>
        <w:pStyle w:val="BodytextAgency"/>
        <w:sectPr w:rsidR="005D6621">
          <w:footerReference w:type="default" r:id="rId10"/>
          <w:headerReference w:type="first" r:id="rId11"/>
          <w:footerReference w:type="first" r:id="rId12"/>
          <w:pgSz w:w="11907" w:h="16839" w:code="9"/>
          <w:pgMar w:top="1418" w:right="1247" w:bottom="1418" w:left="1247" w:header="284" w:footer="680" w:gutter="0"/>
          <w:cols w:space="720"/>
          <w:titlePg/>
          <w:docGrid w:linePitch="326"/>
        </w:sectPr>
      </w:pPr>
    </w:p>
    <w:p w14:paraId="767A0821" w14:textId="77777777" w:rsidR="005D6621" w:rsidRDefault="005D6621">
      <w:pPr>
        <w:pStyle w:val="Heading1Agency"/>
      </w:pPr>
      <w:r>
        <w:lastRenderedPageBreak/>
        <w:t>General comments</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2507"/>
        <w:gridCol w:w="8940"/>
        <w:gridCol w:w="3339"/>
      </w:tblGrid>
      <w:tr w:rsidR="005D6621" w14:paraId="685DEB8C" w14:textId="77777777" w:rsidTr="003C4D6F">
        <w:trPr>
          <w:tblHeader/>
        </w:trPr>
        <w:tc>
          <w:tcPr>
            <w:tcW w:w="848" w:type="pct"/>
            <w:tcBorders>
              <w:top w:val="nil"/>
              <w:left w:val="nil"/>
              <w:bottom w:val="nil"/>
              <w:right w:val="nil"/>
            </w:tcBorders>
            <w:shd w:val="clear" w:color="auto" w:fill="003399"/>
          </w:tcPr>
          <w:p w14:paraId="4296C0B7" w14:textId="77777777" w:rsidR="005D6621" w:rsidRDefault="005D6621" w:rsidP="002E7A38">
            <w:pPr>
              <w:pStyle w:val="TableheadingrowsAgency"/>
              <w:spacing w:line="240" w:lineRule="auto"/>
              <w:rPr>
                <w:b w:val="0"/>
                <w:bCs/>
              </w:rPr>
            </w:pPr>
            <w:r>
              <w:rPr>
                <w:b w:val="0"/>
                <w:bCs/>
              </w:rPr>
              <w:t>Stakeholder number</w:t>
            </w:r>
          </w:p>
          <w:p w14:paraId="2C6C0785" w14:textId="77777777" w:rsidR="005D6621" w:rsidRDefault="005D6621" w:rsidP="002E7A38">
            <w:pPr>
              <w:pStyle w:val="TableheadingrowsAgency"/>
              <w:spacing w:line="240" w:lineRule="auto"/>
              <w:rPr>
                <w:b w:val="0"/>
                <w:bCs/>
                <w:i/>
                <w:color w:val="339966"/>
              </w:rPr>
            </w:pPr>
            <w:r>
              <w:rPr>
                <w:i/>
                <w:color w:val="339966"/>
              </w:rPr>
              <w:t>(To be completed by the Agency)</w:t>
            </w:r>
          </w:p>
        </w:tc>
        <w:tc>
          <w:tcPr>
            <w:tcW w:w="3023" w:type="pct"/>
            <w:tcBorders>
              <w:top w:val="nil"/>
              <w:left w:val="nil"/>
              <w:bottom w:val="nil"/>
              <w:right w:val="nil"/>
            </w:tcBorders>
            <w:shd w:val="clear" w:color="auto" w:fill="003399"/>
          </w:tcPr>
          <w:p w14:paraId="47694764" w14:textId="77777777" w:rsidR="005D6621" w:rsidRDefault="005D6621" w:rsidP="002E7A38">
            <w:pPr>
              <w:pStyle w:val="TableheadingrowsAgency"/>
              <w:spacing w:line="240" w:lineRule="auto"/>
              <w:rPr>
                <w:b w:val="0"/>
                <w:bCs/>
              </w:rPr>
            </w:pPr>
            <w:r>
              <w:rPr>
                <w:b w:val="0"/>
                <w:bCs/>
              </w:rPr>
              <w:t>General comment (if any)</w:t>
            </w:r>
          </w:p>
        </w:tc>
        <w:tc>
          <w:tcPr>
            <w:tcW w:w="1129" w:type="pct"/>
            <w:tcBorders>
              <w:top w:val="nil"/>
              <w:left w:val="nil"/>
              <w:bottom w:val="nil"/>
              <w:right w:val="nil"/>
            </w:tcBorders>
            <w:shd w:val="clear" w:color="auto" w:fill="003399"/>
          </w:tcPr>
          <w:p w14:paraId="2CE4AB82" w14:textId="77777777" w:rsidR="005D6621" w:rsidRDefault="005D6621" w:rsidP="002E7A38">
            <w:pPr>
              <w:pStyle w:val="TableheadingrowsAgency"/>
              <w:spacing w:line="240" w:lineRule="auto"/>
              <w:rPr>
                <w:b w:val="0"/>
                <w:bCs/>
              </w:rPr>
            </w:pPr>
            <w:r>
              <w:rPr>
                <w:b w:val="0"/>
                <w:bCs/>
              </w:rPr>
              <w:t>Outcome (if applicable)</w:t>
            </w:r>
          </w:p>
          <w:p w14:paraId="5B946E72" w14:textId="77777777" w:rsidR="005D6621" w:rsidRDefault="005D6621" w:rsidP="002E7A38">
            <w:pPr>
              <w:pStyle w:val="TableheadingrowsAgency"/>
              <w:spacing w:line="240" w:lineRule="auto"/>
              <w:rPr>
                <w:b w:val="0"/>
                <w:bCs/>
                <w:i/>
                <w:color w:val="339966"/>
              </w:rPr>
            </w:pPr>
            <w:r>
              <w:rPr>
                <w:i/>
                <w:color w:val="339966"/>
              </w:rPr>
              <w:t>(To be completed by the Agency)</w:t>
            </w:r>
          </w:p>
        </w:tc>
      </w:tr>
      <w:tr w:rsidR="003C4D6F" w:rsidRPr="007C7126" w14:paraId="655999C2" w14:textId="77777777" w:rsidTr="003C4D6F">
        <w:tc>
          <w:tcPr>
            <w:tcW w:w="848" w:type="pct"/>
            <w:shd w:val="clear" w:color="auto" w:fill="E1E3F2"/>
          </w:tcPr>
          <w:p w14:paraId="7622356B" w14:textId="77777777" w:rsidR="003C4D6F" w:rsidRPr="007C7126" w:rsidRDefault="003C4D6F" w:rsidP="002E7A38">
            <w:pPr>
              <w:pStyle w:val="TabletextrowsAgency"/>
              <w:spacing w:line="240" w:lineRule="auto"/>
              <w:rPr>
                <w:b/>
                <w:highlight w:val="yellow"/>
              </w:rPr>
            </w:pPr>
          </w:p>
        </w:tc>
        <w:tc>
          <w:tcPr>
            <w:tcW w:w="3023" w:type="pct"/>
            <w:shd w:val="clear" w:color="auto" w:fill="E1E3F2"/>
          </w:tcPr>
          <w:p w14:paraId="196848BA" w14:textId="77777777" w:rsidR="00C24C78" w:rsidRDefault="003A2653" w:rsidP="002E7A38">
            <w:pPr>
              <w:pStyle w:val="Default"/>
              <w:rPr>
                <w:color w:val="auto"/>
                <w:sz w:val="18"/>
                <w:szCs w:val="18"/>
                <w:lang w:val="en-US"/>
              </w:rPr>
            </w:pPr>
            <w:r w:rsidRPr="00C24C78">
              <w:rPr>
                <w:sz w:val="18"/>
                <w:szCs w:val="18"/>
                <w:lang w:val="en-US"/>
              </w:rPr>
              <w:t xml:space="preserve">EFPIA welcome the opportunity to provide comments on this Concept </w:t>
            </w:r>
            <w:r w:rsidRPr="00C24C78">
              <w:rPr>
                <w:color w:val="auto"/>
                <w:sz w:val="18"/>
                <w:szCs w:val="18"/>
                <w:lang w:val="en-US"/>
              </w:rPr>
              <w:t xml:space="preserve">Paper </w:t>
            </w:r>
            <w:r w:rsidR="00C24C78" w:rsidRPr="00C24C78">
              <w:rPr>
                <w:color w:val="auto"/>
                <w:sz w:val="18"/>
                <w:szCs w:val="18"/>
                <w:lang w:val="en-US"/>
              </w:rPr>
              <w:t>on the revision of the guideline on the development of new medicinal products for the treatment of ulcerative colitis (CHMP/EWP/18463/2006)</w:t>
            </w:r>
            <w:r w:rsidRPr="00C24C78">
              <w:rPr>
                <w:color w:val="auto"/>
                <w:sz w:val="18"/>
                <w:szCs w:val="18"/>
                <w:lang w:val="en-US"/>
              </w:rPr>
              <w:t xml:space="preserve">. </w:t>
            </w:r>
          </w:p>
          <w:p w14:paraId="50BACEFA" w14:textId="77777777" w:rsidR="00C24C78" w:rsidRDefault="00C24C78" w:rsidP="002E7A38">
            <w:pPr>
              <w:pStyle w:val="Default"/>
              <w:rPr>
                <w:color w:val="auto"/>
                <w:sz w:val="18"/>
                <w:szCs w:val="18"/>
                <w:lang w:val="en-US"/>
              </w:rPr>
            </w:pPr>
          </w:p>
          <w:p w14:paraId="29A32AA2" w14:textId="77777777" w:rsidR="003A2653" w:rsidRPr="00C24C78" w:rsidRDefault="003A2653" w:rsidP="002E7A38">
            <w:pPr>
              <w:pStyle w:val="Default"/>
              <w:rPr>
                <w:color w:val="auto"/>
                <w:sz w:val="18"/>
                <w:szCs w:val="18"/>
                <w:lang w:val="en-GB"/>
              </w:rPr>
            </w:pPr>
            <w:r w:rsidRPr="00C24C78">
              <w:rPr>
                <w:color w:val="auto"/>
                <w:sz w:val="18"/>
                <w:szCs w:val="18"/>
                <w:lang w:val="en-GB"/>
              </w:rPr>
              <w:t>We have identified a few major comments we expect to be addressed in the forthcoming finalised guideline:</w:t>
            </w:r>
          </w:p>
          <w:p w14:paraId="73A74C36" w14:textId="77777777" w:rsidR="00571783" w:rsidRDefault="00571783" w:rsidP="002E7A38">
            <w:pPr>
              <w:pStyle w:val="TabletextrowsAgency"/>
              <w:spacing w:line="240" w:lineRule="auto"/>
              <w:ind w:left="102"/>
            </w:pPr>
          </w:p>
          <w:p w14:paraId="742398C4" w14:textId="77777777" w:rsidR="003214E7" w:rsidRPr="003214E7" w:rsidRDefault="00F41C13" w:rsidP="002E7A38">
            <w:pPr>
              <w:numPr>
                <w:ilvl w:val="0"/>
                <w:numId w:val="42"/>
              </w:numPr>
              <w:rPr>
                <w:b/>
                <w:iCs/>
                <w:color w:val="000000"/>
              </w:rPr>
            </w:pPr>
            <w:r>
              <w:rPr>
                <w:b/>
                <w:iCs/>
                <w:color w:val="000000"/>
              </w:rPr>
              <w:t>‘I</w:t>
            </w:r>
            <w:r w:rsidR="003214E7" w:rsidRPr="003214E7">
              <w:rPr>
                <w:b/>
                <w:iCs/>
                <w:color w:val="000000"/>
              </w:rPr>
              <w:t>nduction of disease remission’ and ‘maintenance of remission’ vs. ‘treatment of disease’ indication:</w:t>
            </w:r>
          </w:p>
          <w:p w14:paraId="14A89FCD" w14:textId="77777777" w:rsidR="00F41C13" w:rsidRDefault="003214E7" w:rsidP="002E7A38">
            <w:pPr>
              <w:ind w:left="360"/>
              <w:rPr>
                <w:iCs/>
                <w:color w:val="000000"/>
              </w:rPr>
            </w:pPr>
            <w:r w:rsidRPr="007C7126">
              <w:rPr>
                <w:iCs/>
                <w:color w:val="000000"/>
              </w:rPr>
              <w:t>We support EMA’s intention to revisit the historic paradigm for studying induction and maintenance of remission, and would encourage that the guidance allow flexibility on treatment indication and in trial design that is appropriate for the compound under study and the desired claims.</w:t>
            </w:r>
          </w:p>
          <w:p w14:paraId="2407340C" w14:textId="77777777" w:rsidR="00F41C13" w:rsidRDefault="00F41C13" w:rsidP="002E7A38">
            <w:pPr>
              <w:ind w:left="360"/>
              <w:rPr>
                <w:iCs/>
                <w:color w:val="000000"/>
              </w:rPr>
            </w:pPr>
          </w:p>
          <w:p w14:paraId="43646928" w14:textId="77777777" w:rsidR="003214E7" w:rsidRPr="00F41C13" w:rsidRDefault="00F41C13" w:rsidP="002E7A38">
            <w:pPr>
              <w:numPr>
                <w:ilvl w:val="0"/>
                <w:numId w:val="42"/>
              </w:numPr>
              <w:rPr>
                <w:b/>
                <w:iCs/>
                <w:color w:val="000000"/>
              </w:rPr>
            </w:pPr>
            <w:r w:rsidRPr="00F41C13">
              <w:rPr>
                <w:b/>
              </w:rPr>
              <w:t>E</w:t>
            </w:r>
            <w:r w:rsidR="00571783" w:rsidRPr="00F41C13">
              <w:rPr>
                <w:b/>
              </w:rPr>
              <w:t xml:space="preserve">MA position on histological assessment </w:t>
            </w:r>
            <w:r w:rsidR="00571783" w:rsidRPr="00F41C13">
              <w:rPr>
                <w:b/>
                <w:i/>
              </w:rPr>
              <w:t>vs</w:t>
            </w:r>
            <w:r w:rsidR="00571783" w:rsidRPr="00F41C13">
              <w:rPr>
                <w:b/>
              </w:rPr>
              <w:t>. endoscopic assessment for evidence of mucosal healing</w:t>
            </w:r>
            <w:r w:rsidR="003214E7" w:rsidRPr="00F41C13">
              <w:rPr>
                <w:b/>
              </w:rPr>
              <w:t>:</w:t>
            </w:r>
            <w:r w:rsidR="00F96256" w:rsidRPr="00F41C13">
              <w:rPr>
                <w:b/>
              </w:rPr>
              <w:t xml:space="preserve"> </w:t>
            </w:r>
          </w:p>
          <w:p w14:paraId="7E22F13A" w14:textId="77777777" w:rsidR="00F96256" w:rsidRDefault="00F96256" w:rsidP="002E7A38">
            <w:pPr>
              <w:pStyle w:val="TabletextrowsAgency"/>
              <w:spacing w:line="240" w:lineRule="auto"/>
              <w:ind w:left="360"/>
              <w:rPr>
                <w:rFonts w:cs="Arial"/>
                <w:color w:val="000000"/>
                <w:lang w:val="en-US"/>
              </w:rPr>
            </w:pPr>
            <w:r w:rsidRPr="00F96256">
              <w:t xml:space="preserve">In our view, </w:t>
            </w:r>
            <w:r w:rsidRPr="00F96256">
              <w:rPr>
                <w:rFonts w:cs="Arial"/>
                <w:color w:val="000000"/>
                <w:lang w:val="en-US"/>
              </w:rPr>
              <w:t xml:space="preserve">histology is not validated, nor </w:t>
            </w:r>
            <w:proofErr w:type="gramStart"/>
            <w:r w:rsidRPr="00F96256">
              <w:rPr>
                <w:rFonts w:cs="Arial"/>
                <w:color w:val="000000"/>
                <w:lang w:val="en-US"/>
              </w:rPr>
              <w:t>are</w:t>
            </w:r>
            <w:proofErr w:type="gramEnd"/>
            <w:r w:rsidRPr="00F96256">
              <w:rPr>
                <w:rFonts w:cs="Arial"/>
                <w:color w:val="000000"/>
                <w:lang w:val="en-US"/>
              </w:rPr>
              <w:t xml:space="preserve"> procedures to obtain samples over time.  Exact locations cannot be duplicated longitudinally.  Endoscopic visualization is feasible however inclusion criteria can have consequential effects on enrollment.  Minimal amount of mucosal inflammation along with some symptoms (abdominal pain, stool frequency, CDAI) should drive enrollment criteria.  Central confirmation may underestimate mucosal inflammation thus making enrollment even more challenging.  Endoscopy continues to be challenging in children:  the bowel prep being the most obtrusive to families and school-aged children</w:t>
            </w:r>
            <w:r w:rsidR="00F41C13">
              <w:rPr>
                <w:rFonts w:cs="Arial"/>
                <w:color w:val="000000"/>
                <w:lang w:val="en-US"/>
              </w:rPr>
              <w:t>.</w:t>
            </w:r>
          </w:p>
          <w:p w14:paraId="1D8D4C23" w14:textId="77777777" w:rsidR="007E5910" w:rsidRDefault="007E5910" w:rsidP="002E7A38">
            <w:pPr>
              <w:pStyle w:val="TabletextrowsAgency"/>
              <w:spacing w:line="240" w:lineRule="auto"/>
              <w:ind w:left="360"/>
              <w:rPr>
                <w:rFonts w:cs="Arial"/>
                <w:color w:val="000000"/>
                <w:lang w:val="en-US"/>
              </w:rPr>
            </w:pPr>
            <w:r w:rsidRPr="007C7126">
              <w:rPr>
                <w:rFonts w:cs="Arial"/>
              </w:rPr>
              <w:t xml:space="preserve">Clinical response would be more appropriate as a meaningful primary endpoint for induction (especially for young people with UC who have failed </w:t>
            </w:r>
            <w:proofErr w:type="spellStart"/>
            <w:r w:rsidRPr="007C7126">
              <w:rPr>
                <w:rFonts w:cs="Arial"/>
              </w:rPr>
              <w:t>biologicals</w:t>
            </w:r>
            <w:proofErr w:type="spellEnd"/>
            <w:r w:rsidRPr="007C7126">
              <w:rPr>
                <w:rFonts w:cs="Arial"/>
              </w:rPr>
              <w:t>) and probably for maintenance also</w:t>
            </w:r>
            <w:r>
              <w:rPr>
                <w:rFonts w:cs="Arial"/>
              </w:rPr>
              <w:t>.</w:t>
            </w:r>
          </w:p>
          <w:p w14:paraId="50AE9D2D" w14:textId="77777777" w:rsidR="00F41C13" w:rsidRDefault="00F41C13" w:rsidP="002E7A38">
            <w:pPr>
              <w:pStyle w:val="TabletextrowsAgency"/>
              <w:spacing w:line="240" w:lineRule="auto"/>
              <w:ind w:left="360"/>
              <w:rPr>
                <w:b/>
              </w:rPr>
            </w:pPr>
          </w:p>
          <w:p w14:paraId="55D0A59B" w14:textId="77777777" w:rsidR="00F41C13" w:rsidRPr="00F41C13" w:rsidRDefault="003214E7" w:rsidP="002E7A38">
            <w:pPr>
              <w:pStyle w:val="TabletextrowsAgency"/>
              <w:numPr>
                <w:ilvl w:val="0"/>
                <w:numId w:val="42"/>
              </w:numPr>
              <w:spacing w:line="240" w:lineRule="auto"/>
              <w:rPr>
                <w:b/>
              </w:rPr>
            </w:pPr>
            <w:r>
              <w:rPr>
                <w:b/>
              </w:rPr>
              <w:t>Glob</w:t>
            </w:r>
            <w:r w:rsidR="00F41C13">
              <w:rPr>
                <w:b/>
              </w:rPr>
              <w:t xml:space="preserve">al </w:t>
            </w:r>
            <w:r w:rsidR="00F41C13" w:rsidRPr="00F41C13">
              <w:rPr>
                <w:b/>
                <w:color w:val="000000"/>
                <w:lang w:val="en-US"/>
              </w:rPr>
              <w:t>Regulatory Agency Collaboration</w:t>
            </w:r>
          </w:p>
          <w:p w14:paraId="406E187B" w14:textId="77777777" w:rsidR="00F41C13" w:rsidRPr="007C7126" w:rsidRDefault="00F41C13" w:rsidP="002E7A38">
            <w:pPr>
              <w:ind w:left="360"/>
              <w:jc w:val="both"/>
              <w:rPr>
                <w:color w:val="000000"/>
                <w:lang w:val="en-US"/>
              </w:rPr>
            </w:pPr>
            <w:r>
              <w:rPr>
                <w:color w:val="000000"/>
                <w:lang w:val="en-US"/>
              </w:rPr>
              <w:t>We</w:t>
            </w:r>
            <w:r w:rsidRPr="007C7126">
              <w:rPr>
                <w:color w:val="000000"/>
                <w:lang w:val="en-US"/>
              </w:rPr>
              <w:t xml:space="preserve"> acknowledge that other Regulatory Agencies worldwide are also considering the same kind of re-examination of Inflammatory Bowel Disease trial designs and endpoints.  We recognize the need and desire for autonomy between Agencies to best suit local regulatory needs. However, we would also urge close collaboration between Agencies in this re-</w:t>
            </w:r>
            <w:r w:rsidRPr="007C7126">
              <w:rPr>
                <w:color w:val="000000"/>
                <w:lang w:val="en-US"/>
              </w:rPr>
              <w:lastRenderedPageBreak/>
              <w:t>examination process to avoid an outcome that would require mutually exclusive study designs or substantially different primary endpoints that would make it difficult to conduct single, consolidated pivotal programs that will satisfy all major global Agencies’ requirements for medicinal product approvals for new IBD treatments.</w:t>
            </w:r>
          </w:p>
          <w:p w14:paraId="5AADF31C" w14:textId="77777777" w:rsidR="003C4D6F" w:rsidRDefault="00F41C13" w:rsidP="002E7A38">
            <w:pPr>
              <w:autoSpaceDE w:val="0"/>
              <w:autoSpaceDN w:val="0"/>
              <w:adjustRightInd w:val="0"/>
              <w:ind w:left="360"/>
              <w:jc w:val="both"/>
            </w:pPr>
            <w:r>
              <w:rPr>
                <w:rFonts w:eastAsia="Times New Roman"/>
              </w:rPr>
              <w:t>There are also</w:t>
            </w:r>
            <w:r w:rsidR="003C4D6F" w:rsidRPr="007C7126">
              <w:rPr>
                <w:rFonts w:eastAsia="Times New Roman"/>
              </w:rPr>
              <w:t xml:space="preserve"> growing discussions in both the EU and US paediatric community and within regulatory agencies on the desire for more up to date requirements in this area. The proposed revisions and an attempt to align the requirements globally would be valuable steps forward in the development of medicines in this area. </w:t>
            </w:r>
            <w:r w:rsidR="003214E7">
              <w:rPr>
                <w:rFonts w:eastAsia="Times New Roman"/>
              </w:rPr>
              <w:t>Since the</w:t>
            </w:r>
            <w:r w:rsidR="003C4D6F" w:rsidRPr="007C7126">
              <w:t xml:space="preserve"> FDA organised 2 workshops on Gastroenterology Regulatory Endpoints and the Advancement </w:t>
            </w:r>
            <w:r w:rsidR="003C4D6F">
              <w:t>of Therapeutics</w:t>
            </w:r>
            <w:r w:rsidR="003C4D6F" w:rsidRPr="007C7126">
              <w:t xml:space="preserve"> in September 2012 and October 2013</w:t>
            </w:r>
            <w:r w:rsidR="003C4D6F">
              <w:t xml:space="preserve">, respectively, we would appreciate </w:t>
            </w:r>
            <w:r w:rsidR="003C4D6F" w:rsidRPr="007C7126">
              <w:t>the conclusions from th</w:t>
            </w:r>
            <w:r w:rsidR="003C4D6F">
              <w:t>ese</w:t>
            </w:r>
            <w:r w:rsidR="003C4D6F" w:rsidRPr="007C7126">
              <w:t xml:space="preserve"> workshop</w:t>
            </w:r>
            <w:r w:rsidR="003C4D6F">
              <w:t>s</w:t>
            </w:r>
            <w:r w:rsidR="003C4D6F" w:rsidRPr="007C7126">
              <w:t xml:space="preserve"> </w:t>
            </w:r>
            <w:r w:rsidR="003C4D6F">
              <w:t>be taken into account in</w:t>
            </w:r>
            <w:r w:rsidR="003C4D6F" w:rsidRPr="007C7126">
              <w:t xml:space="preserve"> the </w:t>
            </w:r>
            <w:r w:rsidR="003C4D6F">
              <w:t>revised</w:t>
            </w:r>
            <w:r w:rsidR="003C4D6F" w:rsidRPr="007C7126">
              <w:t xml:space="preserve"> EU guideline in order to facilitate </w:t>
            </w:r>
            <w:r w:rsidR="003C4D6F">
              <w:t xml:space="preserve">global </w:t>
            </w:r>
            <w:r w:rsidR="003C4D6F" w:rsidRPr="007C7126">
              <w:t>development.</w:t>
            </w:r>
          </w:p>
          <w:p w14:paraId="5E545D80" w14:textId="77777777" w:rsidR="00C24C78" w:rsidRPr="003C4D6F" w:rsidRDefault="00C24C78" w:rsidP="002E7A38">
            <w:pPr>
              <w:autoSpaceDE w:val="0"/>
              <w:autoSpaceDN w:val="0"/>
              <w:adjustRightInd w:val="0"/>
              <w:ind w:left="360"/>
              <w:jc w:val="both"/>
              <w:rPr>
                <w:rFonts w:eastAsia="Times New Roman"/>
              </w:rPr>
            </w:pPr>
          </w:p>
          <w:p w14:paraId="6593D9A7" w14:textId="77777777" w:rsidR="003C4D6F" w:rsidRDefault="003C4D6F" w:rsidP="002E7A38">
            <w:pPr>
              <w:pStyle w:val="TabletextrowsAgency"/>
              <w:spacing w:line="240" w:lineRule="auto"/>
            </w:pPr>
          </w:p>
          <w:p w14:paraId="7411D9EB" w14:textId="77777777" w:rsidR="00C24C78" w:rsidRDefault="00C24C78" w:rsidP="002E7A38">
            <w:pPr>
              <w:pStyle w:val="TabletextrowsAgency"/>
              <w:spacing w:line="240" w:lineRule="auto"/>
            </w:pPr>
            <w:r>
              <w:t>D</w:t>
            </w:r>
            <w:r w:rsidRPr="001D2870">
              <w:t>etailed comments</w:t>
            </w:r>
            <w:r>
              <w:t xml:space="preserve"> are also provided below </w:t>
            </w:r>
            <w:r w:rsidRPr="001D2870">
              <w:t xml:space="preserve">in section </w:t>
            </w:r>
            <w:r>
              <w:t xml:space="preserve">2 - </w:t>
            </w:r>
            <w:r w:rsidRPr="001D2870">
              <w:t>“</w:t>
            </w:r>
            <w:r>
              <w:t>Specific Comments on the text”</w:t>
            </w:r>
            <w:r w:rsidRPr="001D2870">
              <w:t xml:space="preserve">. </w:t>
            </w:r>
          </w:p>
          <w:p w14:paraId="6BE20F0B" w14:textId="77777777" w:rsidR="00C24C78" w:rsidRDefault="00C24C78" w:rsidP="002E7A38">
            <w:pPr>
              <w:pStyle w:val="TabletextrowsAgency"/>
              <w:spacing w:line="240" w:lineRule="auto"/>
            </w:pPr>
          </w:p>
        </w:tc>
        <w:tc>
          <w:tcPr>
            <w:tcW w:w="1129" w:type="pct"/>
            <w:shd w:val="clear" w:color="auto" w:fill="E1E3F2"/>
          </w:tcPr>
          <w:p w14:paraId="5A6810CE" w14:textId="77777777" w:rsidR="003C4D6F" w:rsidRPr="007C7126" w:rsidRDefault="003C4D6F" w:rsidP="002E7A38">
            <w:pPr>
              <w:pStyle w:val="TabletextrowsAgency"/>
              <w:spacing w:line="240" w:lineRule="auto"/>
            </w:pPr>
          </w:p>
        </w:tc>
      </w:tr>
    </w:tbl>
    <w:p w14:paraId="396C8909" w14:textId="77777777" w:rsidR="005D6621" w:rsidRPr="007C7126" w:rsidRDefault="005D6621" w:rsidP="007C7126">
      <w:pPr>
        <w:pStyle w:val="BodytextAgency"/>
        <w:spacing w:after="0" w:line="240" w:lineRule="auto"/>
      </w:pPr>
    </w:p>
    <w:p w14:paraId="13D1E4C8" w14:textId="77777777" w:rsidR="005D6621" w:rsidRPr="007C7126" w:rsidRDefault="005D6621" w:rsidP="007C7126">
      <w:pPr>
        <w:pStyle w:val="Heading1Agency"/>
        <w:pageBreakBefore/>
        <w:spacing w:before="0" w:after="0"/>
        <w:rPr>
          <w:sz w:val="18"/>
          <w:szCs w:val="18"/>
        </w:rPr>
      </w:pPr>
      <w:r w:rsidRPr="007C7126">
        <w:rPr>
          <w:sz w:val="18"/>
          <w:szCs w:val="18"/>
        </w:rPr>
        <w:lastRenderedPageBreak/>
        <w:t>Specific comments on text</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1908"/>
        <w:gridCol w:w="2401"/>
        <w:gridCol w:w="5932"/>
        <w:gridCol w:w="4545"/>
      </w:tblGrid>
      <w:tr w:rsidR="005D6621" w:rsidRPr="007C7126" w14:paraId="21200AC1" w14:textId="77777777">
        <w:trPr>
          <w:tblHeader/>
        </w:trPr>
        <w:tc>
          <w:tcPr>
            <w:tcW w:w="645" w:type="pct"/>
            <w:tcBorders>
              <w:top w:val="nil"/>
              <w:left w:val="nil"/>
              <w:bottom w:val="nil"/>
              <w:right w:val="nil"/>
            </w:tcBorders>
            <w:shd w:val="clear" w:color="auto" w:fill="003399"/>
          </w:tcPr>
          <w:p w14:paraId="76427D35" w14:textId="77777777" w:rsidR="005D6621" w:rsidRPr="007C7126" w:rsidRDefault="005D6621" w:rsidP="007C7126">
            <w:pPr>
              <w:pStyle w:val="TableheadingrowsAgency"/>
              <w:spacing w:after="0" w:line="240" w:lineRule="auto"/>
              <w:rPr>
                <w:b w:val="0"/>
              </w:rPr>
            </w:pPr>
            <w:r w:rsidRPr="007C7126">
              <w:rPr>
                <w:b w:val="0"/>
              </w:rPr>
              <w:t>Line number(s) of the relevant text</w:t>
            </w:r>
          </w:p>
          <w:p w14:paraId="6FCA4F11" w14:textId="77777777" w:rsidR="005D6621" w:rsidRPr="007C7126" w:rsidRDefault="005D6621" w:rsidP="007C7126">
            <w:pPr>
              <w:pStyle w:val="TableheadingrowsAgency"/>
              <w:spacing w:after="0" w:line="240" w:lineRule="auto"/>
              <w:rPr>
                <w:b w:val="0"/>
                <w:i/>
                <w:color w:val="339966"/>
              </w:rPr>
            </w:pPr>
            <w:r w:rsidRPr="007C7126">
              <w:rPr>
                <w:i/>
                <w:color w:val="339966"/>
              </w:rPr>
              <w:t>(e.g. Lines 20-23)</w:t>
            </w:r>
          </w:p>
        </w:tc>
        <w:tc>
          <w:tcPr>
            <w:tcW w:w="812" w:type="pct"/>
            <w:tcBorders>
              <w:top w:val="nil"/>
              <w:left w:val="nil"/>
              <w:bottom w:val="nil"/>
              <w:right w:val="nil"/>
            </w:tcBorders>
            <w:shd w:val="clear" w:color="auto" w:fill="003399"/>
          </w:tcPr>
          <w:p w14:paraId="3F481FE9" w14:textId="77777777" w:rsidR="005D6621" w:rsidRPr="007C7126" w:rsidRDefault="005D6621" w:rsidP="007C7126">
            <w:pPr>
              <w:pStyle w:val="TableheadingrowsAgency"/>
              <w:spacing w:after="0" w:line="240" w:lineRule="auto"/>
              <w:rPr>
                <w:b w:val="0"/>
              </w:rPr>
            </w:pPr>
            <w:r w:rsidRPr="007C7126">
              <w:rPr>
                <w:b w:val="0"/>
              </w:rPr>
              <w:t>Stakeholder number</w:t>
            </w:r>
          </w:p>
          <w:p w14:paraId="4CFCF44D" w14:textId="77777777" w:rsidR="005D6621" w:rsidRPr="007C7126" w:rsidRDefault="005D6621" w:rsidP="007C7126">
            <w:pPr>
              <w:pStyle w:val="TableheadingrowsAgency"/>
              <w:spacing w:after="0" w:line="240" w:lineRule="auto"/>
              <w:rPr>
                <w:b w:val="0"/>
              </w:rPr>
            </w:pPr>
            <w:r w:rsidRPr="007C7126">
              <w:rPr>
                <w:i/>
                <w:color w:val="339966"/>
              </w:rPr>
              <w:t>(To be completed by the Agency)</w:t>
            </w:r>
          </w:p>
        </w:tc>
        <w:tc>
          <w:tcPr>
            <w:tcW w:w="2006" w:type="pct"/>
            <w:tcBorders>
              <w:top w:val="nil"/>
              <w:left w:val="nil"/>
              <w:bottom w:val="nil"/>
              <w:right w:val="nil"/>
            </w:tcBorders>
            <w:shd w:val="clear" w:color="auto" w:fill="003399"/>
          </w:tcPr>
          <w:p w14:paraId="1F3512D4" w14:textId="77777777" w:rsidR="005D6621" w:rsidRPr="007C7126" w:rsidRDefault="005D6621" w:rsidP="007C7126">
            <w:pPr>
              <w:pStyle w:val="TableheadingrowsAgency"/>
              <w:spacing w:after="0" w:line="240" w:lineRule="auto"/>
              <w:rPr>
                <w:b w:val="0"/>
              </w:rPr>
            </w:pPr>
            <w:r w:rsidRPr="007C7126">
              <w:rPr>
                <w:b w:val="0"/>
              </w:rPr>
              <w:t>Comment and rationale; proposed changes</w:t>
            </w:r>
          </w:p>
          <w:p w14:paraId="52201539" w14:textId="77777777" w:rsidR="005D6621" w:rsidRPr="007C7126" w:rsidRDefault="005D6621" w:rsidP="007C7126">
            <w:pPr>
              <w:pStyle w:val="TableheadingrowsAgency"/>
              <w:spacing w:after="0" w:line="240" w:lineRule="auto"/>
              <w:rPr>
                <w:b w:val="0"/>
                <w:i/>
                <w:color w:val="339966"/>
              </w:rPr>
            </w:pPr>
            <w:r w:rsidRPr="007C7126">
              <w:rPr>
                <w:i/>
                <w:color w:val="339966"/>
              </w:rPr>
              <w:t>(If changes to the wording are suggested, they should be highlighted using 'track changes')</w:t>
            </w:r>
          </w:p>
        </w:tc>
        <w:tc>
          <w:tcPr>
            <w:tcW w:w="1537" w:type="pct"/>
            <w:tcBorders>
              <w:top w:val="nil"/>
              <w:left w:val="nil"/>
              <w:bottom w:val="nil"/>
              <w:right w:val="nil"/>
            </w:tcBorders>
            <w:shd w:val="clear" w:color="auto" w:fill="003399"/>
          </w:tcPr>
          <w:p w14:paraId="33DB0D1D" w14:textId="77777777" w:rsidR="005D6621" w:rsidRPr="007C7126" w:rsidRDefault="005D6621" w:rsidP="007C7126">
            <w:pPr>
              <w:pStyle w:val="TableheadingrowsAgency"/>
              <w:spacing w:after="0" w:line="240" w:lineRule="auto"/>
              <w:rPr>
                <w:b w:val="0"/>
              </w:rPr>
            </w:pPr>
            <w:r w:rsidRPr="007C7126">
              <w:rPr>
                <w:b w:val="0"/>
              </w:rPr>
              <w:t>Outcome</w:t>
            </w:r>
          </w:p>
          <w:p w14:paraId="7592F077" w14:textId="77777777" w:rsidR="005D6621" w:rsidRPr="007C7126" w:rsidRDefault="005D6621" w:rsidP="007C7126">
            <w:pPr>
              <w:pStyle w:val="TableheadingrowsAgency"/>
              <w:spacing w:after="0" w:line="240" w:lineRule="auto"/>
              <w:rPr>
                <w:b w:val="0"/>
              </w:rPr>
            </w:pPr>
            <w:r w:rsidRPr="007C7126">
              <w:rPr>
                <w:i/>
                <w:color w:val="339966"/>
              </w:rPr>
              <w:t>(To be completed by the Agency)</w:t>
            </w:r>
          </w:p>
        </w:tc>
      </w:tr>
      <w:tr w:rsidR="005B6AFB" w:rsidRPr="007C7126" w14:paraId="11CB2AD4" w14:textId="77777777">
        <w:tc>
          <w:tcPr>
            <w:tcW w:w="645" w:type="pct"/>
            <w:shd w:val="clear" w:color="auto" w:fill="E1E3F2"/>
          </w:tcPr>
          <w:p w14:paraId="65495BF6" w14:textId="77777777" w:rsidR="005B6AFB" w:rsidRPr="007C7126" w:rsidRDefault="005B6AFB" w:rsidP="007C7126">
            <w:pPr>
              <w:pStyle w:val="TabletextrowsAgency"/>
              <w:spacing w:line="240" w:lineRule="auto"/>
            </w:pPr>
            <w:r w:rsidRPr="007C7126">
              <w:t>Lines 32 and 82-83</w:t>
            </w:r>
          </w:p>
        </w:tc>
        <w:tc>
          <w:tcPr>
            <w:tcW w:w="812" w:type="pct"/>
            <w:shd w:val="clear" w:color="auto" w:fill="E1E3F2"/>
          </w:tcPr>
          <w:p w14:paraId="4A59E201" w14:textId="77777777" w:rsidR="005B6AFB" w:rsidRPr="007C7126" w:rsidRDefault="005B6AFB" w:rsidP="007C7126">
            <w:pPr>
              <w:pStyle w:val="TabletextrowsAgency"/>
              <w:spacing w:line="240" w:lineRule="auto"/>
            </w:pPr>
          </w:p>
        </w:tc>
        <w:tc>
          <w:tcPr>
            <w:tcW w:w="2006" w:type="pct"/>
            <w:shd w:val="clear" w:color="auto" w:fill="E1E3F2"/>
          </w:tcPr>
          <w:p w14:paraId="754020F1" w14:textId="77777777" w:rsidR="007C7126" w:rsidRDefault="005B6AFB" w:rsidP="007C7126">
            <w:pPr>
              <w:pStyle w:val="TabletextrowsAgency"/>
              <w:spacing w:line="240" w:lineRule="auto"/>
            </w:pPr>
            <w:r w:rsidRPr="007C7126">
              <w:rPr>
                <w:b/>
              </w:rPr>
              <w:t>Comment:</w:t>
            </w:r>
            <w:r w:rsidRPr="007C7126">
              <w:t xml:space="preserve"> </w:t>
            </w:r>
          </w:p>
          <w:p w14:paraId="383CC2ED" w14:textId="77777777" w:rsidR="005B6AFB" w:rsidRPr="007C7126" w:rsidRDefault="005B6AFB" w:rsidP="007C7126">
            <w:pPr>
              <w:pStyle w:val="TabletextrowsAgency"/>
              <w:spacing w:line="240" w:lineRule="auto"/>
            </w:pPr>
            <w:r w:rsidRPr="007C7126">
              <w:t>Recommendation does not specify if comparators will be addressed in first line or add-on treatments in different disease populations (e.g. mild or moderate-to-severe population).  Current guid</w:t>
            </w:r>
            <w:r w:rsidR="00F96256">
              <w:t>eline</w:t>
            </w:r>
            <w:r w:rsidRPr="007C7126">
              <w:t xml:space="preserve"> does not address with sufficient detail comparators in second-line or moderate-to-severe population who are not well controlled with immune suppressants (i.e. azathioprine; 6- </w:t>
            </w:r>
            <w:proofErr w:type="spellStart"/>
            <w:r w:rsidRPr="007C7126">
              <w:t>mercatopurine</w:t>
            </w:r>
            <w:proofErr w:type="spellEnd"/>
            <w:r w:rsidRPr="007C7126">
              <w:t>) or biologic therapy. Please consider addressing comparators similar to current EMA RA guidance (CPMP/EWP/556/95rev1/final), which delineates comparators by disease severity and intended use of the new agent in the disease treatment paradigm.</w:t>
            </w:r>
          </w:p>
          <w:p w14:paraId="0E0EBDDD" w14:textId="77777777" w:rsidR="005B6AFB" w:rsidRPr="007C7126" w:rsidRDefault="005B6AFB" w:rsidP="007C7126">
            <w:pPr>
              <w:pStyle w:val="TabletextrowsAgency"/>
              <w:spacing w:line="240" w:lineRule="auto"/>
            </w:pPr>
          </w:p>
          <w:p w14:paraId="669690DD" w14:textId="77777777" w:rsidR="007C7126" w:rsidRPr="007C7126" w:rsidRDefault="003214E7" w:rsidP="007C7126">
            <w:pPr>
              <w:pStyle w:val="TabletextrowsAgency"/>
              <w:spacing w:line="240" w:lineRule="auto"/>
              <w:rPr>
                <w:b/>
              </w:rPr>
            </w:pPr>
            <w:r>
              <w:rPr>
                <w:b/>
              </w:rPr>
              <w:t>Proposed change</w:t>
            </w:r>
            <w:r w:rsidR="005B6AFB" w:rsidRPr="007C7126">
              <w:rPr>
                <w:b/>
              </w:rPr>
              <w:t xml:space="preserve">: </w:t>
            </w:r>
          </w:p>
          <w:p w14:paraId="3940565C" w14:textId="77777777" w:rsidR="005B6AFB" w:rsidRPr="00F96256" w:rsidRDefault="005B6AFB" w:rsidP="007C7126">
            <w:pPr>
              <w:pStyle w:val="TabletextrowsAgency"/>
              <w:spacing w:line="240" w:lineRule="auto"/>
              <w:rPr>
                <w:b/>
                <w:i/>
                <w:u w:val="single"/>
              </w:rPr>
            </w:pPr>
            <w:r w:rsidRPr="007C7126">
              <w:t xml:space="preserve">Please consider the following addition to the problem statement (after line 32) - </w:t>
            </w:r>
            <w:r w:rsidRPr="00F96256">
              <w:rPr>
                <w:b/>
                <w:i/>
                <w:u w:val="single"/>
              </w:rPr>
              <w:t xml:space="preserve">Additionally, with a shift in the treatment paradigm in the moderate-to-severe population, appropriate comparators for add-on therapy needs to be </w:t>
            </w:r>
            <w:r w:rsidR="00F96256">
              <w:rPr>
                <w:b/>
                <w:i/>
                <w:u w:val="single"/>
              </w:rPr>
              <w:t>considered</w:t>
            </w:r>
            <w:r w:rsidRPr="00F96256">
              <w:rPr>
                <w:b/>
                <w:i/>
                <w:u w:val="single"/>
              </w:rPr>
              <w:t>.</w:t>
            </w:r>
          </w:p>
          <w:p w14:paraId="743DECB9" w14:textId="77777777" w:rsidR="005B6AFB" w:rsidRPr="007C7126" w:rsidRDefault="005B6AFB" w:rsidP="007C7126">
            <w:pPr>
              <w:pStyle w:val="TabletextrowsAgency"/>
              <w:spacing w:line="240" w:lineRule="auto"/>
            </w:pPr>
          </w:p>
        </w:tc>
        <w:tc>
          <w:tcPr>
            <w:tcW w:w="1537" w:type="pct"/>
            <w:shd w:val="clear" w:color="auto" w:fill="E1E3F2"/>
          </w:tcPr>
          <w:p w14:paraId="06AF653B" w14:textId="77777777" w:rsidR="005B6AFB" w:rsidRPr="007C7126" w:rsidRDefault="005B6AFB" w:rsidP="007C7126">
            <w:pPr>
              <w:pStyle w:val="TabletextrowsAgency"/>
              <w:spacing w:line="240" w:lineRule="auto"/>
            </w:pPr>
          </w:p>
        </w:tc>
      </w:tr>
      <w:tr w:rsidR="00843DC3" w:rsidRPr="007C7126" w14:paraId="69671CFE" w14:textId="77777777">
        <w:tc>
          <w:tcPr>
            <w:tcW w:w="645" w:type="pct"/>
            <w:shd w:val="clear" w:color="auto" w:fill="E1E3F2"/>
          </w:tcPr>
          <w:p w14:paraId="3A36C8CE" w14:textId="77777777" w:rsidR="00843DC3" w:rsidRPr="007C7126" w:rsidRDefault="00843DC3" w:rsidP="007C7126">
            <w:pPr>
              <w:pStyle w:val="TabletextrowsAgency"/>
              <w:spacing w:line="240" w:lineRule="auto"/>
            </w:pPr>
            <w:r w:rsidRPr="007C7126">
              <w:t>Lines 34-40</w:t>
            </w:r>
          </w:p>
          <w:p w14:paraId="62C24CBE" w14:textId="77777777" w:rsidR="00843DC3" w:rsidRPr="007C7126" w:rsidRDefault="00843DC3" w:rsidP="007C7126">
            <w:pPr>
              <w:pStyle w:val="TabletextrowsAgency"/>
              <w:spacing w:line="240" w:lineRule="auto"/>
            </w:pPr>
          </w:p>
          <w:p w14:paraId="530700EB" w14:textId="77777777" w:rsidR="00843DC3" w:rsidRPr="007C7126" w:rsidRDefault="00843DC3" w:rsidP="007C7126">
            <w:pPr>
              <w:pStyle w:val="TabletextrowsAgency"/>
              <w:spacing w:line="240" w:lineRule="auto"/>
            </w:pPr>
            <w:r w:rsidRPr="007C7126">
              <w:rPr>
                <w:i/>
              </w:rPr>
              <w:t>Endpoints in clinical trials in adults and children</w:t>
            </w:r>
          </w:p>
          <w:p w14:paraId="4EBB26CA" w14:textId="77777777" w:rsidR="00843DC3" w:rsidRPr="007C7126" w:rsidRDefault="00843DC3" w:rsidP="007C7126">
            <w:pPr>
              <w:pStyle w:val="TabletextrowsAgency"/>
              <w:spacing w:line="240" w:lineRule="auto"/>
            </w:pPr>
          </w:p>
        </w:tc>
        <w:tc>
          <w:tcPr>
            <w:tcW w:w="812" w:type="pct"/>
            <w:shd w:val="clear" w:color="auto" w:fill="E1E3F2"/>
          </w:tcPr>
          <w:p w14:paraId="7CCBF10A" w14:textId="77777777" w:rsidR="00843DC3" w:rsidRPr="007C7126" w:rsidRDefault="00843DC3" w:rsidP="007C7126">
            <w:pPr>
              <w:pStyle w:val="TabletextrowsAgency"/>
              <w:spacing w:line="240" w:lineRule="auto"/>
              <w:rPr>
                <w:b/>
              </w:rPr>
            </w:pPr>
          </w:p>
        </w:tc>
        <w:tc>
          <w:tcPr>
            <w:tcW w:w="2006" w:type="pct"/>
            <w:shd w:val="clear" w:color="auto" w:fill="E1E3F2"/>
          </w:tcPr>
          <w:p w14:paraId="36EB0EC9" w14:textId="77777777" w:rsidR="007C7126" w:rsidRDefault="00843DC3" w:rsidP="007C7126">
            <w:pPr>
              <w:autoSpaceDE w:val="0"/>
              <w:autoSpaceDN w:val="0"/>
              <w:adjustRightInd w:val="0"/>
              <w:jc w:val="both"/>
              <w:rPr>
                <w:rFonts w:eastAsia="Times New Roman"/>
              </w:rPr>
            </w:pPr>
            <w:r w:rsidRPr="007C7126">
              <w:rPr>
                <w:rFonts w:eastAsia="Times New Roman"/>
                <w:b/>
              </w:rPr>
              <w:t>Comment:</w:t>
            </w:r>
            <w:r w:rsidRPr="007C7126">
              <w:rPr>
                <w:rFonts w:eastAsia="Times New Roman"/>
              </w:rPr>
              <w:t xml:space="preserve"> </w:t>
            </w:r>
          </w:p>
          <w:p w14:paraId="72A2FC20" w14:textId="77777777" w:rsidR="00BC5E7B" w:rsidRDefault="00BC5E7B" w:rsidP="007C7126">
            <w:pPr>
              <w:autoSpaceDE w:val="0"/>
              <w:autoSpaceDN w:val="0"/>
              <w:adjustRightInd w:val="0"/>
              <w:jc w:val="both"/>
              <w:rPr>
                <w:rFonts w:eastAsia="Times New Roman"/>
              </w:rPr>
            </w:pPr>
          </w:p>
          <w:p w14:paraId="71AF3FEC" w14:textId="77777777" w:rsidR="00BC5E7B" w:rsidRPr="00F41C13" w:rsidRDefault="003214E7" w:rsidP="007C7126">
            <w:pPr>
              <w:autoSpaceDE w:val="0"/>
              <w:autoSpaceDN w:val="0"/>
              <w:adjustRightInd w:val="0"/>
              <w:jc w:val="both"/>
              <w:rPr>
                <w:rFonts w:eastAsia="Times New Roman"/>
                <w:b/>
                <w:u w:val="single"/>
              </w:rPr>
            </w:pPr>
            <w:r>
              <w:rPr>
                <w:rFonts w:eastAsia="Times New Roman"/>
                <w:b/>
                <w:u w:val="single"/>
              </w:rPr>
              <w:t>Mucosal healing as an endpoint</w:t>
            </w:r>
          </w:p>
          <w:p w14:paraId="6B343AF1" w14:textId="77777777" w:rsidR="00843DC3" w:rsidRPr="007C7126" w:rsidRDefault="00843DC3" w:rsidP="007C7126">
            <w:pPr>
              <w:autoSpaceDE w:val="0"/>
              <w:autoSpaceDN w:val="0"/>
              <w:adjustRightInd w:val="0"/>
              <w:jc w:val="both"/>
              <w:rPr>
                <w:rFonts w:eastAsia="Times New Roman"/>
              </w:rPr>
            </w:pPr>
            <w:r w:rsidRPr="007C7126">
              <w:rPr>
                <w:rFonts w:eastAsia="Times New Roman"/>
              </w:rPr>
              <w:t xml:space="preserve">Morphological endpoints to measure mucosal healing would be acceptable for adults from a practical perspective; however, the important issue is the need for standardization and clear definition of the acceptability of such an endpoint to CHMP. Assessment based on endoscopic appearance may not correlate with assessment based on histological findings, and there is no clear guidance on whether endoscopic or histological assessment is required for demonstrating such an endpoint. Furthermore, there is not yet a consensus on the instruments used for such an assessment, whether endoscopic or histological, and there is no consensus on </w:t>
            </w:r>
            <w:r w:rsidR="00F96256">
              <w:rPr>
                <w:rFonts w:eastAsia="Times New Roman"/>
              </w:rPr>
              <w:t xml:space="preserve">the </w:t>
            </w:r>
            <w:r w:rsidRPr="007C7126">
              <w:rPr>
                <w:rFonts w:eastAsia="Times New Roman"/>
              </w:rPr>
              <w:t xml:space="preserve">definition of </w:t>
            </w:r>
            <w:r w:rsidRPr="007C7126">
              <w:rPr>
                <w:rFonts w:eastAsia="Times New Roman"/>
              </w:rPr>
              <w:lastRenderedPageBreak/>
              <w:t>“mucosal healing.”</w:t>
            </w:r>
          </w:p>
          <w:p w14:paraId="4DC61348" w14:textId="77777777" w:rsidR="00843DC3" w:rsidRPr="007C7126" w:rsidRDefault="00843DC3" w:rsidP="007C7126">
            <w:pPr>
              <w:autoSpaceDE w:val="0"/>
              <w:autoSpaceDN w:val="0"/>
              <w:adjustRightInd w:val="0"/>
              <w:jc w:val="both"/>
              <w:rPr>
                <w:color w:val="1F497D"/>
              </w:rPr>
            </w:pPr>
          </w:p>
          <w:p w14:paraId="42DE8201" w14:textId="77777777" w:rsidR="00843DC3" w:rsidRPr="007C7126" w:rsidRDefault="00843DC3" w:rsidP="007C7126">
            <w:pPr>
              <w:autoSpaceDE w:val="0"/>
              <w:autoSpaceDN w:val="0"/>
              <w:adjustRightInd w:val="0"/>
              <w:jc w:val="both"/>
              <w:rPr>
                <w:rFonts w:eastAsia="Times New Roman"/>
              </w:rPr>
            </w:pPr>
            <w:r w:rsidRPr="007C7126">
              <w:rPr>
                <w:rFonts w:eastAsia="Times New Roman"/>
              </w:rPr>
              <w:t>The utility of central reading of endoscopy examinations in UC is still of unproven value.  While it may enhance qualification of a subject into a trial of mild-to-moderate UC population and thereby improving detection of a treatment effect, this potential benefit of central reading has not been shown in trials of moderate-to-severe UC population.  Employing central assessment of endoscopic appearance has not been shown to reduce variability. If central reading is recommended it would be important to clarify the overall rationale as to why it is considered valuable. Furthermore, it is important for the agency to provide guidance on the methodology of central reading (including, for example, considerations on single versus multiple central readers and the resolution of discrepancies).</w:t>
            </w:r>
          </w:p>
          <w:p w14:paraId="6D2E39D3" w14:textId="77777777" w:rsidR="00843DC3" w:rsidRPr="007C7126" w:rsidRDefault="00843DC3" w:rsidP="007C7126">
            <w:pPr>
              <w:autoSpaceDE w:val="0"/>
              <w:autoSpaceDN w:val="0"/>
              <w:adjustRightInd w:val="0"/>
              <w:jc w:val="both"/>
              <w:rPr>
                <w:rFonts w:eastAsia="Times New Roman"/>
              </w:rPr>
            </w:pPr>
          </w:p>
          <w:p w14:paraId="216D4F36" w14:textId="77777777" w:rsidR="00843DC3" w:rsidRDefault="00843DC3" w:rsidP="007C7126">
            <w:pPr>
              <w:autoSpaceDE w:val="0"/>
              <w:autoSpaceDN w:val="0"/>
              <w:adjustRightInd w:val="0"/>
              <w:jc w:val="both"/>
              <w:rPr>
                <w:rFonts w:eastAsia="Times New Roman"/>
              </w:rPr>
            </w:pPr>
            <w:r w:rsidRPr="007C7126">
              <w:rPr>
                <w:rFonts w:eastAsia="Times New Roman"/>
              </w:rPr>
              <w:t>It would also be useful to note in the guid</w:t>
            </w:r>
            <w:r w:rsidR="00CF4EE8">
              <w:rPr>
                <w:rFonts w:eastAsia="Times New Roman"/>
              </w:rPr>
              <w:t>eline</w:t>
            </w:r>
            <w:r w:rsidRPr="007C7126">
              <w:rPr>
                <w:rFonts w:eastAsia="Times New Roman"/>
              </w:rPr>
              <w:t xml:space="preserve"> that placebo rates can be high if there is a short wash out prior to the first endoscopy.</w:t>
            </w:r>
          </w:p>
          <w:p w14:paraId="79849252" w14:textId="77777777" w:rsidR="00BC5E7B" w:rsidRDefault="00BC5E7B" w:rsidP="007C7126">
            <w:pPr>
              <w:autoSpaceDE w:val="0"/>
              <w:autoSpaceDN w:val="0"/>
              <w:adjustRightInd w:val="0"/>
              <w:jc w:val="both"/>
              <w:rPr>
                <w:rFonts w:cs="Arial"/>
              </w:rPr>
            </w:pPr>
          </w:p>
          <w:p w14:paraId="6DEE4D78" w14:textId="77777777" w:rsidR="00BC5E7B" w:rsidRPr="00F41C13" w:rsidRDefault="00BC5E7B" w:rsidP="007C7126">
            <w:pPr>
              <w:autoSpaceDE w:val="0"/>
              <w:autoSpaceDN w:val="0"/>
              <w:adjustRightInd w:val="0"/>
              <w:jc w:val="both"/>
              <w:rPr>
                <w:rFonts w:eastAsia="Times New Roman"/>
                <w:b/>
                <w:u w:val="single"/>
              </w:rPr>
            </w:pPr>
            <w:r w:rsidRPr="00BC5E7B">
              <w:rPr>
                <w:rFonts w:eastAsia="Times New Roman"/>
                <w:b/>
                <w:u w:val="single"/>
              </w:rPr>
              <w:t>Clinical response as an endpoint</w:t>
            </w:r>
          </w:p>
          <w:p w14:paraId="6A1EF432" w14:textId="77777777" w:rsidR="00BC5E7B" w:rsidRPr="007C7126" w:rsidRDefault="00BC5E7B" w:rsidP="00BC5E7B">
            <w:pPr>
              <w:rPr>
                <w:rFonts w:cs="Arial"/>
              </w:rPr>
            </w:pPr>
            <w:r w:rsidRPr="007C7126">
              <w:rPr>
                <w:rFonts w:cs="Arial"/>
              </w:rPr>
              <w:t xml:space="preserve">Clinical response would be more appropriate as a meaningful primary endpoint for induction (especially for young people with UC who have failed </w:t>
            </w:r>
            <w:proofErr w:type="spellStart"/>
            <w:r w:rsidRPr="007C7126">
              <w:rPr>
                <w:rFonts w:cs="Arial"/>
              </w:rPr>
              <w:t>biologicals</w:t>
            </w:r>
            <w:proofErr w:type="spellEnd"/>
            <w:r w:rsidRPr="007C7126">
              <w:rPr>
                <w:rFonts w:cs="Arial"/>
              </w:rPr>
              <w:t>) and probably for maintenance also.</w:t>
            </w:r>
          </w:p>
          <w:p w14:paraId="408B08E4" w14:textId="77777777" w:rsidR="00843DC3" w:rsidRPr="007C7126" w:rsidRDefault="00843DC3" w:rsidP="007C7126">
            <w:pPr>
              <w:autoSpaceDE w:val="0"/>
              <w:autoSpaceDN w:val="0"/>
              <w:adjustRightInd w:val="0"/>
              <w:jc w:val="both"/>
              <w:rPr>
                <w:rFonts w:eastAsia="Times New Roman"/>
              </w:rPr>
            </w:pPr>
          </w:p>
          <w:p w14:paraId="30E0EDCB" w14:textId="77777777" w:rsidR="00843DC3" w:rsidRPr="00F41C13" w:rsidRDefault="00843DC3" w:rsidP="007C7126">
            <w:pPr>
              <w:autoSpaceDE w:val="0"/>
              <w:autoSpaceDN w:val="0"/>
              <w:adjustRightInd w:val="0"/>
              <w:jc w:val="both"/>
              <w:rPr>
                <w:rFonts w:eastAsia="Times New Roman"/>
                <w:b/>
                <w:u w:val="single"/>
              </w:rPr>
            </w:pPr>
            <w:r w:rsidRPr="00BC5E7B">
              <w:rPr>
                <w:rFonts w:eastAsia="Times New Roman"/>
                <w:b/>
                <w:u w:val="single"/>
              </w:rPr>
              <w:t>Biomarkers</w:t>
            </w:r>
          </w:p>
          <w:p w14:paraId="400F4BDA" w14:textId="77777777" w:rsidR="00843DC3" w:rsidRPr="007C7126" w:rsidRDefault="00843DC3" w:rsidP="007C7126">
            <w:pPr>
              <w:autoSpaceDE w:val="0"/>
              <w:autoSpaceDN w:val="0"/>
              <w:adjustRightInd w:val="0"/>
              <w:jc w:val="both"/>
              <w:rPr>
                <w:rFonts w:eastAsia="Times New Roman"/>
              </w:rPr>
            </w:pPr>
            <w:r w:rsidRPr="007C7126">
              <w:rPr>
                <w:rFonts w:eastAsia="Times New Roman"/>
              </w:rPr>
              <w:t xml:space="preserve">We agree that biomarkers (such as C-reactive protein and faecal </w:t>
            </w:r>
            <w:proofErr w:type="spellStart"/>
            <w:r w:rsidRPr="007C7126">
              <w:rPr>
                <w:rFonts w:eastAsia="Times New Roman"/>
              </w:rPr>
              <w:t>calprotectin</w:t>
            </w:r>
            <w:proofErr w:type="spellEnd"/>
            <w:r w:rsidRPr="007C7126">
              <w:rPr>
                <w:rFonts w:eastAsia="Times New Roman"/>
              </w:rPr>
              <w:t xml:space="preserve">) can be helpful indicators of clinical outcome. However, their utility in assessing response to treatment is limited. With regards to the proposed biomarkers, it should be clarified if the proposal is to use biomarkers as a means to enrich the patient population as a companion diagnostic (in which case there should be additional consideration if, for example, inclusion criteria adversely </w:t>
            </w:r>
            <w:r w:rsidRPr="007C7126">
              <w:rPr>
                <w:rFonts w:eastAsia="Times New Roman"/>
              </w:rPr>
              <w:lastRenderedPageBreak/>
              <w:t xml:space="preserve">impacts screen rate), or as part of the primary measure of efficacy. </w:t>
            </w:r>
          </w:p>
          <w:p w14:paraId="25DDD27F" w14:textId="77777777" w:rsidR="00843DC3" w:rsidRPr="007C7126" w:rsidRDefault="00843DC3" w:rsidP="007C7126">
            <w:pPr>
              <w:autoSpaceDE w:val="0"/>
              <w:autoSpaceDN w:val="0"/>
              <w:adjustRightInd w:val="0"/>
              <w:jc w:val="both"/>
              <w:rPr>
                <w:rFonts w:eastAsia="Times New Roman"/>
              </w:rPr>
            </w:pPr>
          </w:p>
          <w:p w14:paraId="49E125FB" w14:textId="77777777" w:rsidR="00843DC3" w:rsidRPr="00F41C13" w:rsidRDefault="00BC5E7B" w:rsidP="007C7126">
            <w:pPr>
              <w:autoSpaceDE w:val="0"/>
              <w:autoSpaceDN w:val="0"/>
              <w:adjustRightInd w:val="0"/>
              <w:jc w:val="both"/>
              <w:rPr>
                <w:rFonts w:eastAsia="Times New Roman"/>
                <w:b/>
                <w:u w:val="single"/>
              </w:rPr>
            </w:pPr>
            <w:r w:rsidRPr="00BC5E7B">
              <w:rPr>
                <w:rFonts w:eastAsia="Times New Roman"/>
                <w:b/>
                <w:u w:val="single"/>
              </w:rPr>
              <w:t>Paediatrics</w:t>
            </w:r>
          </w:p>
          <w:p w14:paraId="5D7AF1D6" w14:textId="77777777" w:rsidR="00843DC3" w:rsidRPr="007C7126" w:rsidRDefault="00843DC3" w:rsidP="007C7126">
            <w:pPr>
              <w:autoSpaceDE w:val="0"/>
              <w:autoSpaceDN w:val="0"/>
              <w:adjustRightInd w:val="0"/>
              <w:jc w:val="both"/>
              <w:rPr>
                <w:rFonts w:eastAsia="Times New Roman"/>
              </w:rPr>
            </w:pPr>
            <w:r w:rsidRPr="007C7126">
              <w:rPr>
                <w:rFonts w:eastAsia="Times New Roman"/>
              </w:rPr>
              <w:t xml:space="preserve">For paediatrics, use of repeated endoscopy may be more difficult to gain acceptance of by the investigator and patient/parent community. Consideration could be given to restricting this to the start (screening at induction start) and end of study (end of maintenance). </w:t>
            </w:r>
          </w:p>
          <w:p w14:paraId="509C8EE9" w14:textId="77777777" w:rsidR="00843DC3" w:rsidRPr="007C7126" w:rsidRDefault="00843DC3" w:rsidP="007C7126">
            <w:pPr>
              <w:autoSpaceDE w:val="0"/>
              <w:autoSpaceDN w:val="0"/>
              <w:adjustRightInd w:val="0"/>
              <w:jc w:val="both"/>
              <w:rPr>
                <w:rFonts w:eastAsia="Times New Roman"/>
              </w:rPr>
            </w:pPr>
          </w:p>
          <w:p w14:paraId="21235744" w14:textId="77777777" w:rsidR="00843DC3" w:rsidRPr="007C7126" w:rsidRDefault="00843DC3" w:rsidP="007C7126">
            <w:pPr>
              <w:autoSpaceDE w:val="0"/>
              <w:autoSpaceDN w:val="0"/>
              <w:adjustRightInd w:val="0"/>
              <w:jc w:val="both"/>
              <w:rPr>
                <w:rFonts w:eastAsia="Times New Roman"/>
              </w:rPr>
            </w:pPr>
            <w:r w:rsidRPr="007C7126">
              <w:rPr>
                <w:rFonts w:eastAsia="Times New Roman"/>
              </w:rPr>
              <w:t xml:space="preserve">The paediatric ulcerative colitis activity index was specifically validated first with an endoscopic component and then specifically without the endoscopic components. These cross-validation studies showed the endoscopic component </w:t>
            </w:r>
            <w:r w:rsidR="00EF7AE4">
              <w:rPr>
                <w:rFonts w:eastAsia="Times New Roman"/>
              </w:rPr>
              <w:t>do</w:t>
            </w:r>
            <w:r w:rsidR="00EF7AE4" w:rsidRPr="007C7126">
              <w:rPr>
                <w:rFonts w:eastAsia="Times New Roman"/>
              </w:rPr>
              <w:t xml:space="preserve"> </w:t>
            </w:r>
            <w:r w:rsidRPr="007C7126">
              <w:rPr>
                <w:rFonts w:eastAsia="Times New Roman"/>
              </w:rPr>
              <w:t>not add additional value in assessing disease activity.</w:t>
            </w:r>
          </w:p>
          <w:p w14:paraId="63D77E47" w14:textId="77777777" w:rsidR="00843DC3" w:rsidRPr="007C7126" w:rsidRDefault="00843DC3" w:rsidP="007C7126">
            <w:pPr>
              <w:autoSpaceDE w:val="0"/>
              <w:autoSpaceDN w:val="0"/>
              <w:adjustRightInd w:val="0"/>
              <w:jc w:val="both"/>
              <w:rPr>
                <w:rFonts w:eastAsia="Times New Roman"/>
              </w:rPr>
            </w:pPr>
          </w:p>
          <w:p w14:paraId="5D145AEF" w14:textId="77777777" w:rsidR="00843DC3" w:rsidRPr="007C7126" w:rsidRDefault="00843DC3" w:rsidP="007C7126">
            <w:pPr>
              <w:autoSpaceDE w:val="0"/>
              <w:autoSpaceDN w:val="0"/>
              <w:adjustRightInd w:val="0"/>
              <w:jc w:val="both"/>
              <w:rPr>
                <w:rFonts w:eastAsia="Times New Roman"/>
                <w:color w:val="0070C0"/>
              </w:rPr>
            </w:pPr>
            <w:r w:rsidRPr="007C7126">
              <w:rPr>
                <w:rFonts w:eastAsia="Times New Roman"/>
              </w:rPr>
              <w:t xml:space="preserve">Although demonstrating mucosal healing may have some appeal in parallel to the growing trend in adult studies, there are practical considerations that make the assessment of mucosal healing as the primary or even a required secondary endpoint in pivotal clinical trials in children with UC undesirable. A mucosal healing endpoint, by definition, requires </w:t>
            </w:r>
            <w:proofErr w:type="spellStart"/>
            <w:r w:rsidRPr="007C7126">
              <w:rPr>
                <w:rFonts w:eastAsia="Times New Roman"/>
              </w:rPr>
              <w:t>sigmoidoscopy</w:t>
            </w:r>
            <w:proofErr w:type="spellEnd"/>
            <w:r w:rsidRPr="007C7126">
              <w:rPr>
                <w:rFonts w:eastAsia="Times New Roman"/>
              </w:rPr>
              <w:t xml:space="preserve"> or colonoscopy at both baseline and at study completion. For the most common duration of induction studies, this would mean performing two invasive procedures in the span of 8 weeks or less. This would substantially increase the barrier to </w:t>
            </w:r>
            <w:r w:rsidR="00CF4EE8" w:rsidRPr="007C7126">
              <w:rPr>
                <w:rFonts w:eastAsia="Times New Roman"/>
              </w:rPr>
              <w:t>enrolment</w:t>
            </w:r>
            <w:r w:rsidRPr="007C7126">
              <w:rPr>
                <w:rFonts w:eastAsia="Times New Roman"/>
              </w:rPr>
              <w:t xml:space="preserve">, especially in younger children, by parents reluctant to commit their child to two invasive procedures in a short time span, especially in children who may feel quite well at the end of treatment, even at the end of maintenance after 52 weeks. Young children may require heavy sedation or even general anaesthesia in some cases to accomplish safe completion of the endoscopic procedure. As the lower age limit for inclusion moves downward, this </w:t>
            </w:r>
            <w:r w:rsidR="00CF4EE8" w:rsidRPr="007C7126">
              <w:rPr>
                <w:rFonts w:eastAsia="Times New Roman"/>
              </w:rPr>
              <w:t>enrolment</w:t>
            </w:r>
            <w:r w:rsidRPr="007C7126">
              <w:rPr>
                <w:rFonts w:eastAsia="Times New Roman"/>
              </w:rPr>
              <w:t xml:space="preserve"> barrier will become especially high in recruiting these difficult to </w:t>
            </w:r>
            <w:r w:rsidR="00CF4EE8" w:rsidRPr="007C7126">
              <w:rPr>
                <w:rFonts w:eastAsia="Times New Roman"/>
              </w:rPr>
              <w:t>enrol</w:t>
            </w:r>
            <w:r w:rsidRPr="007C7126">
              <w:rPr>
                <w:rFonts w:eastAsia="Times New Roman"/>
              </w:rPr>
              <w:t xml:space="preserve"> trials.</w:t>
            </w:r>
            <w:r w:rsidRPr="007C7126">
              <w:rPr>
                <w:rFonts w:eastAsia="Times New Roman"/>
                <w:color w:val="0070C0"/>
              </w:rPr>
              <w:t xml:space="preserve"> </w:t>
            </w:r>
          </w:p>
          <w:p w14:paraId="70F1674D" w14:textId="77777777" w:rsidR="00843DC3" w:rsidRDefault="00843DC3" w:rsidP="007C7126">
            <w:pPr>
              <w:autoSpaceDE w:val="0"/>
              <w:autoSpaceDN w:val="0"/>
              <w:adjustRightInd w:val="0"/>
              <w:jc w:val="both"/>
              <w:rPr>
                <w:rFonts w:eastAsia="Times New Roman"/>
              </w:rPr>
            </w:pPr>
            <w:r w:rsidRPr="007C7126">
              <w:rPr>
                <w:rFonts w:eastAsia="Times New Roman"/>
              </w:rPr>
              <w:lastRenderedPageBreak/>
              <w:t>Mucosal healing should be included as an optional key secondary endpoint for the purposes of specific supplementary labelling in children, but not as a required primary or secondary endpoint.</w:t>
            </w:r>
          </w:p>
          <w:p w14:paraId="7814E510" w14:textId="77777777" w:rsidR="00BC5E7B" w:rsidRDefault="00BC5E7B" w:rsidP="007C7126">
            <w:pPr>
              <w:autoSpaceDE w:val="0"/>
              <w:autoSpaceDN w:val="0"/>
              <w:adjustRightInd w:val="0"/>
              <w:jc w:val="both"/>
              <w:rPr>
                <w:rFonts w:eastAsia="Times New Roman"/>
              </w:rPr>
            </w:pPr>
          </w:p>
          <w:p w14:paraId="54A48CD3" w14:textId="77777777" w:rsidR="00BC5E7B" w:rsidRPr="00BC5E7B" w:rsidRDefault="00BC5E7B" w:rsidP="007C7126">
            <w:pPr>
              <w:autoSpaceDE w:val="0"/>
              <w:autoSpaceDN w:val="0"/>
              <w:adjustRightInd w:val="0"/>
              <w:jc w:val="both"/>
              <w:rPr>
                <w:rFonts w:cs="Arial"/>
              </w:rPr>
            </w:pPr>
            <w:r w:rsidRPr="007C7126">
              <w:rPr>
                <w:rFonts w:cs="Arial"/>
              </w:rPr>
              <w:t>F</w:t>
            </w:r>
            <w:r>
              <w:rPr>
                <w:rFonts w:cs="Arial"/>
              </w:rPr>
              <w:t xml:space="preserve">inally, it </w:t>
            </w:r>
            <w:r w:rsidRPr="007C7126">
              <w:rPr>
                <w:rFonts w:cs="Arial"/>
              </w:rPr>
              <w:t>is suggested that mucosal healing should be assessed by imaging studies and not by endoscopy. Indeed, parents would not appreciate invasive procedures such as endoscopy/colonoscopy for their children if it could be avoided.</w:t>
            </w:r>
          </w:p>
          <w:p w14:paraId="47BB57CA" w14:textId="77777777" w:rsidR="00843DC3" w:rsidRPr="007C7126" w:rsidRDefault="00843DC3" w:rsidP="007C7126">
            <w:pPr>
              <w:pStyle w:val="TabletextrowsAgency"/>
              <w:spacing w:line="240" w:lineRule="auto"/>
              <w:jc w:val="both"/>
            </w:pPr>
          </w:p>
        </w:tc>
        <w:tc>
          <w:tcPr>
            <w:tcW w:w="1537" w:type="pct"/>
            <w:shd w:val="clear" w:color="auto" w:fill="E1E3F2"/>
          </w:tcPr>
          <w:p w14:paraId="7923B1C0" w14:textId="77777777" w:rsidR="00843DC3" w:rsidRPr="007C7126" w:rsidRDefault="00843DC3" w:rsidP="007C7126">
            <w:pPr>
              <w:pStyle w:val="TabletextrowsAgency"/>
              <w:spacing w:line="240" w:lineRule="auto"/>
            </w:pPr>
          </w:p>
        </w:tc>
      </w:tr>
      <w:tr w:rsidR="00843DC3" w:rsidRPr="007C7126" w14:paraId="4DCA22D4" w14:textId="77777777">
        <w:tc>
          <w:tcPr>
            <w:tcW w:w="645" w:type="pct"/>
            <w:shd w:val="clear" w:color="auto" w:fill="E1E3F2"/>
          </w:tcPr>
          <w:p w14:paraId="33D01B0F" w14:textId="77777777" w:rsidR="00843DC3" w:rsidRPr="007C7126" w:rsidRDefault="00843DC3" w:rsidP="007C7126">
            <w:pPr>
              <w:pStyle w:val="TabletextrowsAgency"/>
              <w:spacing w:line="240" w:lineRule="auto"/>
            </w:pPr>
            <w:r w:rsidRPr="007C7126">
              <w:lastRenderedPageBreak/>
              <w:t>Lines 41-50</w:t>
            </w:r>
          </w:p>
          <w:p w14:paraId="51AADFAC" w14:textId="77777777" w:rsidR="00843DC3" w:rsidRPr="007C7126" w:rsidRDefault="00843DC3" w:rsidP="007C7126">
            <w:pPr>
              <w:pStyle w:val="TabletextrowsAgency"/>
              <w:spacing w:line="240" w:lineRule="auto"/>
            </w:pPr>
          </w:p>
          <w:p w14:paraId="23539F6E" w14:textId="77777777" w:rsidR="00843DC3" w:rsidRPr="007C7126" w:rsidRDefault="00843DC3" w:rsidP="007C7126">
            <w:pPr>
              <w:pStyle w:val="TabletextrowsAgency"/>
              <w:spacing w:line="240" w:lineRule="auto"/>
              <w:rPr>
                <w:i/>
              </w:rPr>
            </w:pPr>
            <w:r w:rsidRPr="007C7126">
              <w:rPr>
                <w:i/>
              </w:rPr>
              <w:t>Extrapolation of data from studies in adults to the paediatric situation</w:t>
            </w:r>
          </w:p>
          <w:p w14:paraId="5A17FF8C" w14:textId="77777777" w:rsidR="00843DC3" w:rsidRPr="007C7126" w:rsidRDefault="00843DC3" w:rsidP="007C7126">
            <w:pPr>
              <w:pStyle w:val="TabletextrowsAgency"/>
              <w:spacing w:line="240" w:lineRule="auto"/>
            </w:pPr>
          </w:p>
          <w:p w14:paraId="65B38DBA" w14:textId="77777777" w:rsidR="00843DC3" w:rsidRPr="007C7126" w:rsidRDefault="00843DC3" w:rsidP="007C7126">
            <w:pPr>
              <w:pStyle w:val="TabletextrowsAgency"/>
              <w:spacing w:line="240" w:lineRule="auto"/>
            </w:pPr>
            <w:r w:rsidRPr="007C7126">
              <w:t>…and lines 84-86</w:t>
            </w:r>
          </w:p>
          <w:p w14:paraId="3450F9AE" w14:textId="77777777" w:rsidR="00843DC3" w:rsidRPr="007C7126" w:rsidRDefault="00843DC3" w:rsidP="007C7126">
            <w:pPr>
              <w:pStyle w:val="TabletextrowsAgency"/>
              <w:spacing w:line="240" w:lineRule="auto"/>
              <w:rPr>
                <w:highlight w:val="yellow"/>
              </w:rPr>
            </w:pPr>
            <w:r w:rsidRPr="007C7126">
              <w:t>…and lines 87-88</w:t>
            </w:r>
          </w:p>
        </w:tc>
        <w:tc>
          <w:tcPr>
            <w:tcW w:w="812" w:type="pct"/>
            <w:shd w:val="clear" w:color="auto" w:fill="E1E3F2"/>
          </w:tcPr>
          <w:p w14:paraId="21874B46" w14:textId="77777777" w:rsidR="00843DC3" w:rsidRPr="007C7126" w:rsidRDefault="00843DC3" w:rsidP="007C7126">
            <w:pPr>
              <w:pStyle w:val="TabletextrowsAgency"/>
              <w:spacing w:line="240" w:lineRule="auto"/>
              <w:rPr>
                <w:b/>
              </w:rPr>
            </w:pPr>
          </w:p>
        </w:tc>
        <w:tc>
          <w:tcPr>
            <w:tcW w:w="2006" w:type="pct"/>
            <w:shd w:val="clear" w:color="auto" w:fill="E1E3F2"/>
          </w:tcPr>
          <w:p w14:paraId="5E5F85B5" w14:textId="77777777" w:rsidR="007C7126" w:rsidRDefault="00843DC3" w:rsidP="007C7126">
            <w:pPr>
              <w:pStyle w:val="TabletextrowsAgency"/>
              <w:spacing w:line="240" w:lineRule="auto"/>
              <w:jc w:val="both"/>
            </w:pPr>
            <w:r w:rsidRPr="007C7126">
              <w:rPr>
                <w:b/>
              </w:rPr>
              <w:t>Comment:</w:t>
            </w:r>
            <w:r w:rsidRPr="007C7126">
              <w:t xml:space="preserve"> </w:t>
            </w:r>
          </w:p>
          <w:p w14:paraId="11996353" w14:textId="77777777" w:rsidR="00843DC3" w:rsidRPr="007C7126" w:rsidRDefault="00843DC3" w:rsidP="007C7126">
            <w:pPr>
              <w:pStyle w:val="TabletextrowsAgency"/>
              <w:spacing w:line="240" w:lineRule="auto"/>
              <w:jc w:val="both"/>
            </w:pPr>
            <w:r w:rsidRPr="007C7126">
              <w:t>Clear guidance is needed to indicate when separate data in children is needed for the development of a new product for the treatment of Ulcerative Colitis.</w:t>
            </w:r>
          </w:p>
          <w:p w14:paraId="44841037" w14:textId="77777777" w:rsidR="00843DC3" w:rsidRPr="007C7126" w:rsidRDefault="00843DC3" w:rsidP="007C7126">
            <w:pPr>
              <w:jc w:val="both"/>
            </w:pPr>
          </w:p>
          <w:p w14:paraId="196ED624" w14:textId="77777777" w:rsidR="00843DC3" w:rsidRPr="007C7126" w:rsidRDefault="00843DC3" w:rsidP="007C7126">
            <w:pPr>
              <w:jc w:val="both"/>
              <w:rPr>
                <w:color w:val="000000"/>
                <w:lang w:val="en-US"/>
              </w:rPr>
            </w:pPr>
            <w:r w:rsidRPr="007C7126">
              <w:rPr>
                <w:color w:val="000000"/>
                <w:lang w:val="en-US"/>
              </w:rPr>
              <w:t xml:space="preserve">Consideration should be given to providing guidance on extrapolation of adult exposure-response for clinical efficacy, for the design of </w:t>
            </w:r>
            <w:proofErr w:type="spellStart"/>
            <w:r w:rsidRPr="007C7126">
              <w:rPr>
                <w:color w:val="000000"/>
                <w:lang w:val="en-US"/>
              </w:rPr>
              <w:t>paediatric</w:t>
            </w:r>
            <w:proofErr w:type="spellEnd"/>
            <w:r w:rsidRPr="007C7126">
              <w:rPr>
                <w:color w:val="000000"/>
                <w:lang w:val="en-US"/>
              </w:rPr>
              <w:t xml:space="preserve"> efficacy trials, in the context of the current state of knowledge with regards to differences in the disease and response to therapy between adults and children. </w:t>
            </w:r>
          </w:p>
          <w:p w14:paraId="4C19D37B" w14:textId="77777777" w:rsidR="00843DC3" w:rsidRPr="007C7126" w:rsidRDefault="00843DC3" w:rsidP="007C7126">
            <w:pPr>
              <w:jc w:val="both"/>
              <w:rPr>
                <w:color w:val="000000"/>
                <w:lang w:val="en-US"/>
              </w:rPr>
            </w:pPr>
          </w:p>
          <w:p w14:paraId="15D2FC90" w14:textId="77777777" w:rsidR="00843DC3" w:rsidRPr="007C7126" w:rsidRDefault="00843DC3" w:rsidP="007C7126">
            <w:pPr>
              <w:jc w:val="both"/>
              <w:rPr>
                <w:color w:val="000000"/>
                <w:lang w:val="en-US"/>
              </w:rPr>
            </w:pPr>
            <w:r w:rsidRPr="007C7126">
              <w:rPr>
                <w:color w:val="000000"/>
                <w:lang w:val="en-US"/>
              </w:rPr>
              <w:t xml:space="preserve">Even when stand-alone </w:t>
            </w:r>
            <w:proofErr w:type="spellStart"/>
            <w:r w:rsidRPr="007C7126">
              <w:rPr>
                <w:color w:val="000000"/>
                <w:lang w:val="en-US"/>
              </w:rPr>
              <w:t>paediatric</w:t>
            </w:r>
            <w:proofErr w:type="spellEnd"/>
            <w:r w:rsidRPr="007C7126">
              <w:rPr>
                <w:color w:val="000000"/>
                <w:lang w:val="en-US"/>
              </w:rPr>
              <w:t xml:space="preserve"> trials are necessary, utilization of adult exposure- response information will enable more efficient and optimal </w:t>
            </w:r>
            <w:proofErr w:type="spellStart"/>
            <w:r w:rsidRPr="007C7126">
              <w:rPr>
                <w:color w:val="000000"/>
                <w:lang w:val="en-US"/>
              </w:rPr>
              <w:t>paediatric</w:t>
            </w:r>
            <w:proofErr w:type="spellEnd"/>
            <w:r w:rsidRPr="007C7126">
              <w:rPr>
                <w:color w:val="000000"/>
                <w:lang w:val="en-US"/>
              </w:rPr>
              <w:t xml:space="preserve"> efficacy trial designs, for example, by reducing the need for dose-ranging. Consider guidance on such “partial extrapolation” approaches to optimize the design of </w:t>
            </w:r>
            <w:proofErr w:type="spellStart"/>
            <w:r w:rsidRPr="007C7126">
              <w:rPr>
                <w:color w:val="000000"/>
                <w:lang w:val="en-US"/>
              </w:rPr>
              <w:t>paediatric</w:t>
            </w:r>
            <w:proofErr w:type="spellEnd"/>
            <w:r w:rsidRPr="007C7126">
              <w:rPr>
                <w:color w:val="000000"/>
                <w:lang w:val="en-US"/>
              </w:rPr>
              <w:t xml:space="preserve"> efficacy trials, especially in relation to the number of dose arms evaluated. While stand-alone </w:t>
            </w:r>
            <w:proofErr w:type="spellStart"/>
            <w:r w:rsidRPr="007C7126">
              <w:rPr>
                <w:color w:val="000000"/>
                <w:lang w:val="en-US"/>
              </w:rPr>
              <w:t>paediatric</w:t>
            </w:r>
            <w:proofErr w:type="spellEnd"/>
            <w:r w:rsidRPr="007C7126">
              <w:rPr>
                <w:color w:val="000000"/>
                <w:lang w:val="en-US"/>
              </w:rPr>
              <w:t xml:space="preserve"> trials may be currently required in UC (or </w:t>
            </w:r>
            <w:proofErr w:type="spellStart"/>
            <w:r w:rsidRPr="007C7126">
              <w:rPr>
                <w:color w:val="000000"/>
                <w:lang w:val="en-US"/>
              </w:rPr>
              <w:t>Crohn’s</w:t>
            </w:r>
            <w:proofErr w:type="spellEnd"/>
            <w:r w:rsidRPr="007C7126">
              <w:rPr>
                <w:color w:val="000000"/>
                <w:lang w:val="en-US"/>
              </w:rPr>
              <w:t xml:space="preserve"> Disease (CD)), given limited available data to inform assumptions underlying extrapolation, sponsors should be encouraged to utilize emerging data to further inform extrapolation assumptions and propose more efficient alternative </w:t>
            </w:r>
            <w:proofErr w:type="spellStart"/>
            <w:r w:rsidRPr="007C7126">
              <w:rPr>
                <w:color w:val="000000"/>
                <w:lang w:val="en-US"/>
              </w:rPr>
              <w:t>paediatric</w:t>
            </w:r>
            <w:proofErr w:type="spellEnd"/>
            <w:r w:rsidRPr="007C7126">
              <w:rPr>
                <w:color w:val="000000"/>
                <w:lang w:val="en-US"/>
              </w:rPr>
              <w:t xml:space="preserve"> program designs based on appropriate rationale. In this context consider guidance on how </w:t>
            </w:r>
            <w:r w:rsidRPr="007C7126">
              <w:rPr>
                <w:color w:val="000000"/>
                <w:lang w:val="en-US"/>
              </w:rPr>
              <w:lastRenderedPageBreak/>
              <w:t xml:space="preserve">accumulating information from </w:t>
            </w:r>
            <w:proofErr w:type="spellStart"/>
            <w:r w:rsidRPr="007C7126">
              <w:rPr>
                <w:color w:val="000000"/>
                <w:lang w:val="en-US"/>
              </w:rPr>
              <w:t>paediatric</w:t>
            </w:r>
            <w:proofErr w:type="spellEnd"/>
            <w:r w:rsidRPr="007C7126">
              <w:rPr>
                <w:color w:val="000000"/>
                <w:lang w:val="en-US"/>
              </w:rPr>
              <w:t xml:space="preserve"> trials completed in future may further inform underlying assumptions for extrapolation, such as similarity of response to therapy. Ongoing collaboration between EMA and industry would be very helpful in this regard. Additionally, guidance on bridging of newer efficacy endpoints from adults to children should be provided, in the context of evaluating the underlying assumptions for extrapolation.</w:t>
            </w:r>
          </w:p>
          <w:p w14:paraId="5A2FE2D9" w14:textId="77777777" w:rsidR="00843DC3" w:rsidRPr="007C7126" w:rsidRDefault="00843DC3" w:rsidP="007C7126">
            <w:pPr>
              <w:jc w:val="both"/>
              <w:rPr>
                <w:color w:val="000000"/>
                <w:lang w:val="en-US"/>
              </w:rPr>
            </w:pPr>
          </w:p>
          <w:p w14:paraId="7A1E840F" w14:textId="77777777" w:rsidR="00843DC3" w:rsidRDefault="00843DC3" w:rsidP="007C7126">
            <w:pPr>
              <w:jc w:val="both"/>
              <w:rPr>
                <w:color w:val="000000"/>
                <w:lang w:val="en-US"/>
              </w:rPr>
            </w:pPr>
            <w:r w:rsidRPr="007C7126">
              <w:rPr>
                <w:color w:val="000000"/>
                <w:lang w:val="en-US"/>
              </w:rPr>
              <w:t xml:space="preserve">Although it is important to evaluate pharmacokinetics (PK) in the population, separate PK or pharmacokinetics / pharmacodynamics (PK/PD) studies in the patient population are typically not feasible because (1) they are short-term studies and do not provide a therapeutic benefit, thereby limiting enrollment, and (2) they may result in significantly longer development programs. Guidance should be provided on designing </w:t>
            </w:r>
            <w:proofErr w:type="spellStart"/>
            <w:r w:rsidRPr="007C7126">
              <w:rPr>
                <w:color w:val="000000"/>
                <w:lang w:val="en-US"/>
              </w:rPr>
              <w:t>paediatric</w:t>
            </w:r>
            <w:proofErr w:type="spellEnd"/>
            <w:r w:rsidRPr="007C7126">
              <w:rPr>
                <w:color w:val="000000"/>
                <w:lang w:val="en-US"/>
              </w:rPr>
              <w:t xml:space="preserve"> efficacy trials where PK information in the patient population can be obtained in the same trial, and utilize any new information in an adaptive fashion in the trial. In addition, guidance on the extrapolation of PK data obtained from </w:t>
            </w:r>
            <w:proofErr w:type="spellStart"/>
            <w:r w:rsidRPr="007C7126">
              <w:rPr>
                <w:color w:val="000000"/>
                <w:lang w:val="en-US"/>
              </w:rPr>
              <w:t>paediatric</w:t>
            </w:r>
            <w:proofErr w:type="spellEnd"/>
            <w:r w:rsidRPr="007C7126">
              <w:rPr>
                <w:color w:val="000000"/>
                <w:lang w:val="en-US"/>
              </w:rPr>
              <w:t xml:space="preserve"> patients with other inflammatory conditions (such as juvenile idiopathic arthritis, psoriasis, CD) to </w:t>
            </w:r>
            <w:proofErr w:type="spellStart"/>
            <w:r w:rsidRPr="007C7126">
              <w:rPr>
                <w:color w:val="000000"/>
                <w:lang w:val="en-US"/>
              </w:rPr>
              <w:t>paediatric</w:t>
            </w:r>
            <w:proofErr w:type="spellEnd"/>
            <w:r w:rsidRPr="007C7126">
              <w:rPr>
                <w:color w:val="000000"/>
                <w:lang w:val="en-US"/>
              </w:rPr>
              <w:t xml:space="preserve"> patients with UC, based on the historical comparability of PK characteristics in these populations in the context of route of administration, clearance mechanisms, and relationship of PK with body weight and age, should be taken into consideration. Consider sharing EMA’s review experience regarding differences in PK/PD between adults and children, to provide sponsors a better understanding of potential concerns. Analysis of available PK/PD data in adults and children across medicinal products and medicine product classes may help broadly define criteria for extrapolation.</w:t>
            </w:r>
          </w:p>
          <w:p w14:paraId="7FBD1C7F" w14:textId="77777777" w:rsidR="00C157E3" w:rsidRDefault="00C157E3" w:rsidP="007C7126">
            <w:pPr>
              <w:jc w:val="both"/>
              <w:rPr>
                <w:color w:val="000000"/>
                <w:lang w:val="en-US"/>
              </w:rPr>
            </w:pPr>
          </w:p>
          <w:p w14:paraId="14FB2774" w14:textId="77777777" w:rsidR="00C157E3" w:rsidRDefault="00C157E3" w:rsidP="00C157E3">
            <w:pPr>
              <w:pStyle w:val="TabletextrowsAgency"/>
              <w:spacing w:line="240" w:lineRule="auto"/>
            </w:pPr>
            <w:r w:rsidRPr="007C7126">
              <w:rPr>
                <w:b/>
              </w:rPr>
              <w:t>Comment:</w:t>
            </w:r>
            <w:r w:rsidRPr="007C7126">
              <w:t xml:space="preserve"> </w:t>
            </w:r>
          </w:p>
          <w:p w14:paraId="0225559A" w14:textId="77777777" w:rsidR="00C157E3" w:rsidRPr="007C7126" w:rsidRDefault="00C157E3" w:rsidP="00C157E3">
            <w:pPr>
              <w:pStyle w:val="TabletextrowsAgency"/>
              <w:spacing w:line="240" w:lineRule="auto"/>
            </w:pPr>
            <w:r w:rsidRPr="007C7126">
              <w:t xml:space="preserve">In paediatric trials, the incorporation of invasive endoscopic procedures in the paediatric population should be considered, </w:t>
            </w:r>
            <w:r w:rsidRPr="007C7126">
              <w:lastRenderedPageBreak/>
              <w:t>but only after there is adequate data generated from adult studies to justify mucosal healing/histology as the gold standards for treatment efficacy.  Non-invasive biomarkers (serum and faecal inflammatory markers), along with patient and physician symptom scoring tools should be used as primary outcome measures in paediatric subjects.</w:t>
            </w:r>
          </w:p>
          <w:p w14:paraId="6D519ADB" w14:textId="77777777" w:rsidR="00C157E3" w:rsidRPr="007C7126" w:rsidRDefault="00C157E3" w:rsidP="00C157E3">
            <w:pPr>
              <w:pStyle w:val="TabletextrowsAgency"/>
              <w:spacing w:line="240" w:lineRule="auto"/>
            </w:pPr>
          </w:p>
          <w:p w14:paraId="6EAEC050" w14:textId="77777777" w:rsidR="00C157E3" w:rsidRDefault="00C157E3" w:rsidP="00C157E3">
            <w:pPr>
              <w:pStyle w:val="TabletextrowsAgency"/>
              <w:spacing w:line="240" w:lineRule="auto"/>
            </w:pPr>
            <w:r w:rsidRPr="007C7126">
              <w:rPr>
                <w:b/>
              </w:rPr>
              <w:t>Proposed Change</w:t>
            </w:r>
            <w:r w:rsidR="00F41C13">
              <w:rPr>
                <w:b/>
              </w:rPr>
              <w:t>:</w:t>
            </w:r>
          </w:p>
          <w:p w14:paraId="4114BE77" w14:textId="77777777" w:rsidR="00C157E3" w:rsidRDefault="00C157E3" w:rsidP="00C157E3">
            <w:pPr>
              <w:pStyle w:val="TabletextrowsAgency"/>
              <w:spacing w:line="240" w:lineRule="auto"/>
            </w:pPr>
            <w:r w:rsidRPr="007C7126">
              <w:t>In recommendation 2 please</w:t>
            </w:r>
            <w:r>
              <w:t xml:space="preserve"> consider</w:t>
            </w:r>
            <w:r w:rsidRPr="007C7126">
              <w:t xml:space="preserve"> includ</w:t>
            </w:r>
            <w:r>
              <w:t>ing</w:t>
            </w:r>
            <w:r w:rsidRPr="007C7126">
              <w:t xml:space="preserve">: </w:t>
            </w:r>
          </w:p>
          <w:p w14:paraId="53DBA961" w14:textId="77777777" w:rsidR="00C157E3" w:rsidRDefault="00C157E3" w:rsidP="00C157E3">
            <w:pPr>
              <w:pStyle w:val="TabletextrowsAgency"/>
              <w:spacing w:line="240" w:lineRule="auto"/>
            </w:pPr>
          </w:p>
          <w:p w14:paraId="2CFDD963" w14:textId="77777777" w:rsidR="00C157E3" w:rsidRPr="007C7126" w:rsidRDefault="00C157E3" w:rsidP="00C157E3">
            <w:pPr>
              <w:pStyle w:val="TabletextrowsAgency"/>
              <w:spacing w:line="240" w:lineRule="auto"/>
            </w:pPr>
            <w:r w:rsidRPr="007C7126">
              <w:t>2.) The need for more clear guidance as regards the possibility for extrapolation from adults, or the need to generate separate data in children. In the latter case, the scope of the studies needed, including design,</w:t>
            </w:r>
            <w:r w:rsidRPr="007C7126">
              <w:rPr>
                <w:u w:val="single"/>
              </w:rPr>
              <w:t xml:space="preserve"> </w:t>
            </w:r>
            <w:r w:rsidRPr="00C157E3">
              <w:rPr>
                <w:b/>
                <w:i/>
                <w:u w:val="single"/>
              </w:rPr>
              <w:t>role/appropriateness of endoscopic/histological endpoints</w:t>
            </w:r>
            <w:r w:rsidRPr="007C7126">
              <w:t xml:space="preserve"> and comparators need to be described.</w:t>
            </w:r>
          </w:p>
          <w:p w14:paraId="21897B11" w14:textId="77777777" w:rsidR="00C157E3" w:rsidRPr="007C7126" w:rsidRDefault="00C157E3" w:rsidP="007C7126">
            <w:pPr>
              <w:jc w:val="both"/>
              <w:rPr>
                <w:color w:val="000000"/>
                <w:lang w:val="en-US"/>
              </w:rPr>
            </w:pPr>
          </w:p>
        </w:tc>
        <w:tc>
          <w:tcPr>
            <w:tcW w:w="1537" w:type="pct"/>
            <w:shd w:val="clear" w:color="auto" w:fill="E1E3F2"/>
          </w:tcPr>
          <w:p w14:paraId="3242F552" w14:textId="77777777" w:rsidR="00843DC3" w:rsidRPr="007C7126" w:rsidRDefault="00843DC3" w:rsidP="007C7126">
            <w:pPr>
              <w:pStyle w:val="TabletextrowsAgency"/>
              <w:spacing w:line="240" w:lineRule="auto"/>
            </w:pPr>
          </w:p>
        </w:tc>
      </w:tr>
      <w:tr w:rsidR="00843DC3" w:rsidRPr="007C7126" w14:paraId="5E82652F" w14:textId="77777777">
        <w:tc>
          <w:tcPr>
            <w:tcW w:w="645" w:type="pct"/>
            <w:shd w:val="clear" w:color="auto" w:fill="E1E3F2"/>
          </w:tcPr>
          <w:p w14:paraId="5EA70943" w14:textId="77777777" w:rsidR="00843DC3" w:rsidRPr="007C7126" w:rsidRDefault="00843DC3" w:rsidP="007C7126">
            <w:pPr>
              <w:pStyle w:val="TabletextrowsAgency"/>
              <w:spacing w:line="240" w:lineRule="auto"/>
            </w:pPr>
            <w:r w:rsidRPr="007C7126">
              <w:lastRenderedPageBreak/>
              <w:t>Lines 51-63</w:t>
            </w:r>
          </w:p>
          <w:p w14:paraId="491B3EE8" w14:textId="77777777" w:rsidR="00843DC3" w:rsidRPr="007C7126" w:rsidRDefault="00843DC3" w:rsidP="007C7126">
            <w:pPr>
              <w:pStyle w:val="TabletextrowsAgency"/>
              <w:spacing w:line="240" w:lineRule="auto"/>
            </w:pPr>
          </w:p>
          <w:p w14:paraId="354935E1" w14:textId="77777777" w:rsidR="00843DC3" w:rsidRPr="007C7126" w:rsidRDefault="00843DC3" w:rsidP="007C7126">
            <w:pPr>
              <w:pStyle w:val="TabletextrowsAgency"/>
              <w:spacing w:line="240" w:lineRule="auto"/>
            </w:pPr>
            <w:r w:rsidRPr="007C7126">
              <w:rPr>
                <w:i/>
              </w:rPr>
              <w:t>Design of the studies in children</w:t>
            </w:r>
          </w:p>
        </w:tc>
        <w:tc>
          <w:tcPr>
            <w:tcW w:w="812" w:type="pct"/>
            <w:shd w:val="clear" w:color="auto" w:fill="E1E3F2"/>
          </w:tcPr>
          <w:p w14:paraId="54A4CC48" w14:textId="77777777" w:rsidR="00843DC3" w:rsidRPr="007C7126" w:rsidRDefault="00843DC3" w:rsidP="007C7126">
            <w:pPr>
              <w:pStyle w:val="TabletextrowsAgency"/>
              <w:spacing w:line="240" w:lineRule="auto"/>
              <w:rPr>
                <w:b/>
              </w:rPr>
            </w:pPr>
          </w:p>
        </w:tc>
        <w:tc>
          <w:tcPr>
            <w:tcW w:w="2006" w:type="pct"/>
            <w:shd w:val="clear" w:color="auto" w:fill="E1E3F2"/>
          </w:tcPr>
          <w:p w14:paraId="513DD44D" w14:textId="77777777" w:rsidR="007C7126" w:rsidRDefault="00843DC3" w:rsidP="007C7126">
            <w:pPr>
              <w:pStyle w:val="TabletextrowsAgency"/>
              <w:spacing w:line="240" w:lineRule="auto"/>
              <w:jc w:val="both"/>
              <w:rPr>
                <w:color w:val="000000"/>
                <w:lang w:val="en-US"/>
              </w:rPr>
            </w:pPr>
            <w:r w:rsidRPr="007C7126">
              <w:rPr>
                <w:b/>
              </w:rPr>
              <w:t>Comment:</w:t>
            </w:r>
            <w:r w:rsidRPr="007C7126">
              <w:t xml:space="preserve"> </w:t>
            </w:r>
          </w:p>
          <w:p w14:paraId="4C066843" w14:textId="77777777" w:rsidR="004D6B34" w:rsidRDefault="004D6B34" w:rsidP="007C7126">
            <w:pPr>
              <w:pStyle w:val="TabletextrowsAgency"/>
              <w:spacing w:line="240" w:lineRule="auto"/>
              <w:jc w:val="both"/>
              <w:rPr>
                <w:color w:val="000000"/>
                <w:lang w:val="en-US"/>
              </w:rPr>
            </w:pPr>
            <w:r w:rsidRPr="007C7126">
              <w:rPr>
                <w:rFonts w:cs="Arial"/>
              </w:rPr>
              <w:t>In the absence of any paediatric data, we need to assume a similarity of PK-PD or exposure-response relationship between adults and children for initial dose selection / PK studies. This is a reasonable assumption for UC based on the scientific literature. Results of the dose selection / PK studies would provide paediatric data to assess the validity of the assumption.</w:t>
            </w:r>
          </w:p>
          <w:p w14:paraId="2CDAA776" w14:textId="77777777" w:rsidR="004D6B34" w:rsidRDefault="004D6B34" w:rsidP="007C7126">
            <w:pPr>
              <w:pStyle w:val="TabletextrowsAgency"/>
              <w:spacing w:line="240" w:lineRule="auto"/>
              <w:jc w:val="both"/>
              <w:rPr>
                <w:color w:val="000000"/>
                <w:lang w:val="en-US"/>
              </w:rPr>
            </w:pPr>
          </w:p>
          <w:p w14:paraId="5B571A87" w14:textId="77777777" w:rsidR="00843DC3" w:rsidRPr="007C7126" w:rsidRDefault="00843DC3" w:rsidP="007C7126">
            <w:pPr>
              <w:pStyle w:val="TabletextrowsAgency"/>
              <w:spacing w:line="240" w:lineRule="auto"/>
              <w:jc w:val="both"/>
              <w:rPr>
                <w:color w:val="000000"/>
                <w:lang w:val="en-US"/>
              </w:rPr>
            </w:pPr>
            <w:r w:rsidRPr="007C7126">
              <w:rPr>
                <w:color w:val="000000"/>
                <w:lang w:val="en-US"/>
              </w:rPr>
              <w:t xml:space="preserve">We are aware that there is some resistance to conducting placebo controlled studies, however, the challenges of selecting comparators and powering studies appropriately in a limited patient population should not be ignored. </w:t>
            </w:r>
          </w:p>
          <w:p w14:paraId="37A1A3E1" w14:textId="77777777" w:rsidR="00843DC3" w:rsidRPr="007C7126" w:rsidRDefault="00843DC3" w:rsidP="007C7126">
            <w:pPr>
              <w:jc w:val="both"/>
              <w:rPr>
                <w:color w:val="000000"/>
                <w:lang w:val="en-US"/>
              </w:rPr>
            </w:pPr>
          </w:p>
          <w:p w14:paraId="4F18CBB9" w14:textId="77777777" w:rsidR="00843DC3" w:rsidRPr="007C7126" w:rsidRDefault="00843DC3" w:rsidP="007C7126">
            <w:pPr>
              <w:jc w:val="both"/>
              <w:rPr>
                <w:lang w:val="en-US"/>
              </w:rPr>
            </w:pPr>
            <w:r w:rsidRPr="007C7126">
              <w:rPr>
                <w:color w:val="000000"/>
                <w:lang w:val="en-US"/>
              </w:rPr>
              <w:t xml:space="preserve">Allowing flexibility in the guideline for alternative study designs is therefore critical, as enforcing too restrictive conditions may drive focus of development elsewhere (aside from meeting mandatory </w:t>
            </w:r>
            <w:proofErr w:type="spellStart"/>
            <w:r w:rsidRPr="007C7126">
              <w:rPr>
                <w:color w:val="000000"/>
                <w:lang w:val="en-US"/>
              </w:rPr>
              <w:t>Paediatric</w:t>
            </w:r>
            <w:proofErr w:type="spellEnd"/>
            <w:r w:rsidRPr="007C7126">
              <w:rPr>
                <w:color w:val="000000"/>
                <w:lang w:val="en-US"/>
              </w:rPr>
              <w:t xml:space="preserve"> Investigation Plan (PIP) requirements). The guideline should not be overly complex or </w:t>
            </w:r>
            <w:r w:rsidRPr="007C7126">
              <w:rPr>
                <w:color w:val="000000"/>
                <w:lang w:val="en-US"/>
              </w:rPr>
              <w:lastRenderedPageBreak/>
              <w:t>lack the variance in clinical practice</w:t>
            </w:r>
            <w:r w:rsidRPr="007C7126">
              <w:rPr>
                <w:lang w:val="en-US"/>
              </w:rPr>
              <w:t xml:space="preserve">. </w:t>
            </w:r>
          </w:p>
          <w:p w14:paraId="054C6202" w14:textId="77777777" w:rsidR="00843DC3" w:rsidRPr="007C7126" w:rsidRDefault="00843DC3" w:rsidP="007C7126">
            <w:pPr>
              <w:jc w:val="both"/>
              <w:rPr>
                <w:lang w:val="en-US"/>
              </w:rPr>
            </w:pPr>
          </w:p>
          <w:p w14:paraId="5E58AC7C" w14:textId="77777777" w:rsidR="00843DC3" w:rsidRPr="007C7126" w:rsidRDefault="00843DC3" w:rsidP="007C7126">
            <w:pPr>
              <w:jc w:val="both"/>
              <w:rPr>
                <w:lang w:val="en-US"/>
              </w:rPr>
            </w:pPr>
            <w:r w:rsidRPr="007C7126">
              <w:t xml:space="preserve">The use of an active </w:t>
            </w:r>
            <w:r w:rsidRPr="007C7126">
              <w:rPr>
                <w:lang w:val="en-US"/>
              </w:rPr>
              <w:t xml:space="preserve">comparator poses several difficulties in children, such as placebo infusions / injections (which can be an onerous burden that few subjects / parents / guardians are likely to accept and not resolvable by open label design), inclusion of specific treatment failures which may render the treatment population more refractory than desired or even introduce bias, and statistical considerations (numbers in the hundreds and/or uncertainty over acceptable margins even if studies are acceptable as “estimates”). Therefore, we believe that a blinded, active comparator should not be required for UC trials in children. </w:t>
            </w:r>
          </w:p>
          <w:p w14:paraId="0ADDEF03" w14:textId="77777777" w:rsidR="00843DC3" w:rsidRPr="007C7126" w:rsidRDefault="00843DC3" w:rsidP="007C7126">
            <w:pPr>
              <w:jc w:val="both"/>
              <w:rPr>
                <w:lang w:val="en-US"/>
              </w:rPr>
            </w:pPr>
          </w:p>
          <w:p w14:paraId="7F26F105" w14:textId="77777777" w:rsidR="00843DC3" w:rsidRPr="007C7126" w:rsidRDefault="00843DC3" w:rsidP="007C7126">
            <w:pPr>
              <w:jc w:val="both"/>
            </w:pPr>
            <w:r w:rsidRPr="007C7126">
              <w:rPr>
                <w:color w:val="000000"/>
                <w:lang w:val="en-US"/>
              </w:rPr>
              <w:t>Some considerations in the guideline could include suggestions that designs should be allowed to vary depending on the nature of the agent (small molecule, biologic treatment) e.g. non-equivalent study designs (</w:t>
            </w:r>
            <w:proofErr w:type="spellStart"/>
            <w:r w:rsidRPr="007C7126">
              <w:rPr>
                <w:color w:val="000000"/>
                <w:lang w:val="en-US"/>
              </w:rPr>
              <w:t>biosimilar</w:t>
            </w:r>
            <w:proofErr w:type="spellEnd"/>
            <w:r w:rsidRPr="007C7126">
              <w:rPr>
                <w:color w:val="000000"/>
                <w:lang w:val="en-US"/>
              </w:rPr>
              <w:t>-type approach), comparators as in-study controls, or clearer treatment discontinuation criteria (escape rules) in placebo controlled studies.</w:t>
            </w:r>
            <w:r w:rsidR="005D7F6F">
              <w:rPr>
                <w:color w:val="000000"/>
                <w:lang w:val="en-US"/>
              </w:rPr>
              <w:t xml:space="preserve"> It might be also useful to </w:t>
            </w:r>
            <w:r w:rsidR="005D7F6F">
              <w:t>evaluate</w:t>
            </w:r>
            <w:r w:rsidR="005D7F6F" w:rsidRPr="007C7126">
              <w:t xml:space="preserve"> whether failure of </w:t>
            </w:r>
            <w:proofErr w:type="spellStart"/>
            <w:r w:rsidR="005D7F6F" w:rsidRPr="007C7126">
              <w:t>immunosuppressants</w:t>
            </w:r>
            <w:proofErr w:type="spellEnd"/>
            <w:r w:rsidR="005D7F6F" w:rsidRPr="007C7126">
              <w:t xml:space="preserve"> should still be required to select for the study population (Walters et al. Gastroenterology. 2014</w:t>
            </w:r>
            <w:proofErr w:type="gramStart"/>
            <w:r w:rsidR="005D7F6F" w:rsidRPr="007C7126">
              <w:t>;146</w:t>
            </w:r>
            <w:proofErr w:type="gramEnd"/>
            <w:r w:rsidR="005D7F6F" w:rsidRPr="007C7126">
              <w:t>(2):383-91).</w:t>
            </w:r>
          </w:p>
        </w:tc>
        <w:tc>
          <w:tcPr>
            <w:tcW w:w="1537" w:type="pct"/>
            <w:shd w:val="clear" w:color="auto" w:fill="E1E3F2"/>
          </w:tcPr>
          <w:p w14:paraId="13F95018" w14:textId="77777777" w:rsidR="00843DC3" w:rsidRPr="007C7126" w:rsidRDefault="00843DC3" w:rsidP="007C7126">
            <w:pPr>
              <w:pStyle w:val="TabletextrowsAgency"/>
              <w:spacing w:line="240" w:lineRule="auto"/>
            </w:pPr>
          </w:p>
        </w:tc>
      </w:tr>
      <w:tr w:rsidR="00EF7AE4" w:rsidRPr="001600EF" w14:paraId="587D1B29" w14:textId="77777777">
        <w:tc>
          <w:tcPr>
            <w:tcW w:w="645" w:type="pct"/>
            <w:shd w:val="clear" w:color="auto" w:fill="E1E3F2"/>
          </w:tcPr>
          <w:p w14:paraId="4B70AC51" w14:textId="77777777" w:rsidR="00054F17" w:rsidRPr="001600EF" w:rsidRDefault="00054F17" w:rsidP="001600EF">
            <w:pPr>
              <w:pStyle w:val="TabletextrowsAgency"/>
              <w:spacing w:line="240" w:lineRule="auto"/>
            </w:pPr>
            <w:r w:rsidRPr="001600EF">
              <w:lastRenderedPageBreak/>
              <w:t>Lines 51-63</w:t>
            </w:r>
          </w:p>
          <w:p w14:paraId="3C8F7D03" w14:textId="77777777" w:rsidR="00054F17" w:rsidRPr="001600EF" w:rsidRDefault="00054F17" w:rsidP="001600EF">
            <w:pPr>
              <w:pStyle w:val="TabletextrowsAgency"/>
              <w:spacing w:line="240" w:lineRule="auto"/>
            </w:pPr>
          </w:p>
          <w:p w14:paraId="67BBB0E8" w14:textId="77777777" w:rsidR="00EF7AE4" w:rsidRPr="001600EF" w:rsidRDefault="00054F17" w:rsidP="001600EF">
            <w:pPr>
              <w:pStyle w:val="TabletextrowsAgency"/>
              <w:spacing w:line="240" w:lineRule="auto"/>
            </w:pPr>
            <w:r w:rsidRPr="001600EF">
              <w:rPr>
                <w:i/>
              </w:rPr>
              <w:t>Design of the studies in children</w:t>
            </w:r>
          </w:p>
        </w:tc>
        <w:tc>
          <w:tcPr>
            <w:tcW w:w="812" w:type="pct"/>
            <w:shd w:val="clear" w:color="auto" w:fill="E1E3F2"/>
          </w:tcPr>
          <w:p w14:paraId="267EA5CD" w14:textId="77777777" w:rsidR="00EF7AE4" w:rsidRPr="001600EF" w:rsidRDefault="00EF7AE4" w:rsidP="001600EF">
            <w:pPr>
              <w:pStyle w:val="TabletextrowsAgency"/>
              <w:spacing w:line="240" w:lineRule="auto"/>
              <w:rPr>
                <w:b/>
              </w:rPr>
            </w:pPr>
          </w:p>
        </w:tc>
        <w:tc>
          <w:tcPr>
            <w:tcW w:w="2006" w:type="pct"/>
            <w:shd w:val="clear" w:color="auto" w:fill="E1E3F2"/>
          </w:tcPr>
          <w:p w14:paraId="63AB6411" w14:textId="77777777" w:rsidR="00054F17" w:rsidRPr="001600EF" w:rsidRDefault="00395DF3" w:rsidP="001600EF">
            <w:pPr>
              <w:pStyle w:val="TabletextrowsAgency"/>
              <w:keepNext/>
              <w:spacing w:line="240" w:lineRule="auto"/>
              <w:outlineLvl w:val="2"/>
              <w:rPr>
                <w:b/>
              </w:rPr>
            </w:pPr>
            <w:r w:rsidRPr="001600EF">
              <w:rPr>
                <w:b/>
              </w:rPr>
              <w:t>Comment:</w:t>
            </w:r>
          </w:p>
          <w:p w14:paraId="412ABBAA" w14:textId="77777777" w:rsidR="00EF7AE4" w:rsidRPr="001600EF" w:rsidRDefault="00EF7AE4" w:rsidP="001600EF">
            <w:pPr>
              <w:pStyle w:val="TabletextrowsAgency"/>
              <w:spacing w:line="240" w:lineRule="auto"/>
              <w:jc w:val="both"/>
            </w:pPr>
            <w:r w:rsidRPr="001600EF">
              <w:t>The current guidelines state</w:t>
            </w:r>
            <w:r w:rsidR="001600EF">
              <w:t>s</w:t>
            </w:r>
            <w:r w:rsidRPr="001600EF">
              <w:t xml:space="preserve"> that the paediatric UC population ranges from 2-18 years.  It should be noted that within the paediatric population diagnosed before the age of 6 years (very early onset IBD or VEO-IBD, diagnosed as early as the newborn) patients present with severe colonic disease, have distinct disease pathology (including genetic polymorphisms) and usually do not respond to standard therapies, including biologics.   This specific and rarer population should be excluded from general paediatric studies in IBD.</w:t>
            </w:r>
          </w:p>
          <w:p w14:paraId="1F6E3A48" w14:textId="77777777" w:rsidR="00EF7AE4" w:rsidRPr="001600EF" w:rsidRDefault="00EF7AE4" w:rsidP="001600EF">
            <w:pPr>
              <w:pStyle w:val="TabletextrowsAgency"/>
              <w:spacing w:line="240" w:lineRule="auto"/>
            </w:pPr>
          </w:p>
          <w:p w14:paraId="62BEA79B" w14:textId="77777777" w:rsidR="00EF7AE4" w:rsidRPr="001600EF" w:rsidRDefault="00EF7AE4" w:rsidP="001600EF">
            <w:pPr>
              <w:pStyle w:val="TabletextrowsAgency"/>
              <w:spacing w:line="240" w:lineRule="auto"/>
            </w:pPr>
            <w:r w:rsidRPr="001600EF">
              <w:t xml:space="preserve">Additionally, </w:t>
            </w:r>
            <w:r w:rsidR="001600EF">
              <w:t>p</w:t>
            </w:r>
            <w:r w:rsidR="001600EF" w:rsidRPr="001600EF">
              <w:t xml:space="preserve">aediatricians </w:t>
            </w:r>
            <w:r w:rsidRPr="001600EF">
              <w:t xml:space="preserve">would like to accelerate </w:t>
            </w:r>
            <w:r w:rsidRPr="001600EF">
              <w:lastRenderedPageBreak/>
              <w:t>investigation of promising therapies in paediatric population, however, the hurdle very often is lack of age-appropriate clinical and pre-clinical toxicology assessment</w:t>
            </w:r>
          </w:p>
          <w:p w14:paraId="4730E224" w14:textId="77777777" w:rsidR="00EF7AE4" w:rsidRPr="001600EF" w:rsidRDefault="00EF7AE4" w:rsidP="001600EF">
            <w:pPr>
              <w:pStyle w:val="TabletextrowsAgency"/>
              <w:spacing w:line="240" w:lineRule="auto"/>
            </w:pPr>
          </w:p>
          <w:p w14:paraId="39604A15" w14:textId="77777777" w:rsidR="00EF7AE4" w:rsidRPr="001600EF" w:rsidRDefault="00EF7AE4" w:rsidP="001600EF">
            <w:pPr>
              <w:pStyle w:val="TabletextrowsAgency"/>
              <w:spacing w:line="240" w:lineRule="auto"/>
            </w:pPr>
            <w:r w:rsidRPr="001600EF">
              <w:rPr>
                <w:b/>
              </w:rPr>
              <w:t>Propose Change (if any):</w:t>
            </w:r>
            <w:r w:rsidRPr="001600EF">
              <w:t xml:space="preserve">  We suggest allowing studies to </w:t>
            </w:r>
            <w:r w:rsidR="001600EF" w:rsidRPr="001600EF">
              <w:t>enrol</w:t>
            </w:r>
            <w:r w:rsidRPr="001600EF">
              <w:t xml:space="preserve"> older children (e.g. adolescents age 13-18), once there is sufficient safety &amp; data obtained from the adult population (perhaps include adolescents in phase 3).</w:t>
            </w:r>
          </w:p>
          <w:p w14:paraId="3E06DAA6" w14:textId="77777777" w:rsidR="00EF7AE4" w:rsidRPr="001600EF" w:rsidRDefault="00EF7AE4" w:rsidP="001600EF">
            <w:pPr>
              <w:pStyle w:val="TabletextrowsAgency"/>
              <w:spacing w:line="240" w:lineRule="auto"/>
            </w:pPr>
          </w:p>
          <w:p w14:paraId="27FEF609" w14:textId="77777777" w:rsidR="00EF7AE4" w:rsidRDefault="00EF7AE4" w:rsidP="001600EF">
            <w:pPr>
              <w:jc w:val="both"/>
            </w:pPr>
            <w:r w:rsidRPr="001600EF">
              <w:t xml:space="preserve">Additionally we recommend addressing specific guidance on paediatric studies for ages 0-6 yrs, 7-12 years and 13-18 years (adolescents) in the concept paper and guidance (with some discussion of the appropriateness of PK-PD extrapolation).  We recommend excluding patients 0-6 yrs from paediatric studies because they are a rare and distinct population </w:t>
            </w:r>
            <w:proofErr w:type="gramStart"/>
            <w:r w:rsidRPr="001600EF">
              <w:t>with a unique disease pathology</w:t>
            </w:r>
            <w:proofErr w:type="gramEnd"/>
            <w:r w:rsidRPr="001600EF">
              <w:t xml:space="preserve"> (see above).</w:t>
            </w:r>
          </w:p>
          <w:p w14:paraId="7B31880A" w14:textId="77777777" w:rsidR="001600EF" w:rsidRPr="001600EF" w:rsidRDefault="001600EF" w:rsidP="001600EF">
            <w:pPr>
              <w:jc w:val="both"/>
              <w:rPr>
                <w:b/>
                <w:color w:val="000000"/>
                <w:lang w:val="en-US"/>
              </w:rPr>
            </w:pPr>
          </w:p>
        </w:tc>
        <w:tc>
          <w:tcPr>
            <w:tcW w:w="1537" w:type="pct"/>
            <w:shd w:val="clear" w:color="auto" w:fill="E1E3F2"/>
          </w:tcPr>
          <w:p w14:paraId="363CE07E" w14:textId="77777777" w:rsidR="00EF7AE4" w:rsidRPr="001600EF" w:rsidRDefault="00EF7AE4" w:rsidP="001600EF">
            <w:pPr>
              <w:pStyle w:val="TabletextrowsAgency"/>
              <w:spacing w:line="240" w:lineRule="auto"/>
            </w:pPr>
          </w:p>
        </w:tc>
      </w:tr>
      <w:tr w:rsidR="00843DC3" w:rsidRPr="007C7126" w14:paraId="50A80D38" w14:textId="77777777">
        <w:tc>
          <w:tcPr>
            <w:tcW w:w="645" w:type="pct"/>
            <w:shd w:val="clear" w:color="auto" w:fill="E1E3F2"/>
          </w:tcPr>
          <w:p w14:paraId="5287E87B" w14:textId="77777777" w:rsidR="00843DC3" w:rsidRPr="007C7126" w:rsidRDefault="00843DC3" w:rsidP="007C7126">
            <w:pPr>
              <w:pStyle w:val="TabletextrowsAgency"/>
              <w:spacing w:line="240" w:lineRule="auto"/>
            </w:pPr>
            <w:r w:rsidRPr="007C7126">
              <w:lastRenderedPageBreak/>
              <w:t>Lines 64-76</w:t>
            </w:r>
          </w:p>
          <w:p w14:paraId="42EEA8CD" w14:textId="77777777" w:rsidR="00843DC3" w:rsidRPr="007C7126" w:rsidRDefault="00843DC3" w:rsidP="007C7126">
            <w:pPr>
              <w:pStyle w:val="TabletextrowsAgency"/>
              <w:spacing w:line="240" w:lineRule="auto"/>
            </w:pPr>
          </w:p>
          <w:p w14:paraId="58CE8C73" w14:textId="77777777" w:rsidR="00843DC3" w:rsidRPr="007C7126" w:rsidRDefault="00843DC3" w:rsidP="007C7126">
            <w:pPr>
              <w:pStyle w:val="TabletextrowsAgency"/>
              <w:spacing w:line="240" w:lineRule="auto"/>
            </w:pPr>
            <w:r w:rsidRPr="007C7126">
              <w:rPr>
                <w:i/>
              </w:rPr>
              <w:t>Design of studies (in both adults and children)</w:t>
            </w:r>
          </w:p>
        </w:tc>
        <w:tc>
          <w:tcPr>
            <w:tcW w:w="812" w:type="pct"/>
            <w:shd w:val="clear" w:color="auto" w:fill="E1E3F2"/>
          </w:tcPr>
          <w:p w14:paraId="06EEF8AA" w14:textId="77777777" w:rsidR="00843DC3" w:rsidRPr="007C7126" w:rsidRDefault="00843DC3" w:rsidP="007C7126">
            <w:pPr>
              <w:pStyle w:val="TabletextrowsAgency"/>
              <w:spacing w:line="240" w:lineRule="auto"/>
              <w:rPr>
                <w:b/>
              </w:rPr>
            </w:pPr>
          </w:p>
        </w:tc>
        <w:tc>
          <w:tcPr>
            <w:tcW w:w="2006" w:type="pct"/>
            <w:shd w:val="clear" w:color="auto" w:fill="E1E3F2"/>
          </w:tcPr>
          <w:p w14:paraId="18C63FEB" w14:textId="77777777" w:rsidR="007C7126" w:rsidRDefault="00843DC3" w:rsidP="007C7126">
            <w:pPr>
              <w:jc w:val="both"/>
              <w:rPr>
                <w:color w:val="000000"/>
                <w:lang w:val="en-US"/>
              </w:rPr>
            </w:pPr>
            <w:r w:rsidRPr="007C7126">
              <w:rPr>
                <w:b/>
                <w:color w:val="000000"/>
                <w:lang w:val="en-US"/>
              </w:rPr>
              <w:t>Comment:</w:t>
            </w:r>
            <w:r w:rsidRPr="007C7126">
              <w:rPr>
                <w:color w:val="000000"/>
                <w:lang w:val="en-US"/>
              </w:rPr>
              <w:t xml:space="preserve"> </w:t>
            </w:r>
          </w:p>
          <w:p w14:paraId="088EC9A8" w14:textId="77777777" w:rsidR="00843DC3" w:rsidRDefault="004D6B34" w:rsidP="007C7126">
            <w:pPr>
              <w:jc w:val="both"/>
              <w:rPr>
                <w:color w:val="000000"/>
                <w:lang w:val="en-US"/>
              </w:rPr>
            </w:pPr>
            <w:r>
              <w:rPr>
                <w:color w:val="000000"/>
                <w:lang w:val="en-US"/>
              </w:rPr>
              <w:t>EFPIA are</w:t>
            </w:r>
            <w:r w:rsidR="00843DC3" w:rsidRPr="007C7126">
              <w:rPr>
                <w:color w:val="000000"/>
                <w:lang w:val="en-US"/>
              </w:rPr>
              <w:t xml:space="preserve"> supportive of the flexibility for either approach (i.e. separate or combined induction and maintenance studies), thereby allowing study designs and endpoints to be developed appropriately for mechanism/onset of action. This is a positive development and may potentially lead to new and more efficient treatment paradigms, allowing the use of new medicinal products to their full potential.</w:t>
            </w:r>
          </w:p>
          <w:p w14:paraId="68DAD6BE" w14:textId="77777777" w:rsidR="00AC5E71" w:rsidRDefault="00AC5E71" w:rsidP="007C7126">
            <w:pPr>
              <w:jc w:val="both"/>
              <w:rPr>
                <w:color w:val="000000"/>
                <w:lang w:val="en-US"/>
              </w:rPr>
            </w:pPr>
          </w:p>
          <w:p w14:paraId="2E6D3761" w14:textId="77777777" w:rsidR="00AC5E71" w:rsidRPr="007C7126" w:rsidRDefault="00AC5E71" w:rsidP="00AC5E71">
            <w:pPr>
              <w:pStyle w:val="TabletextrowsAgency"/>
              <w:spacing w:line="240" w:lineRule="auto"/>
            </w:pPr>
            <w:r>
              <w:t xml:space="preserve">In addition, the current guideline </w:t>
            </w:r>
            <w:r w:rsidRPr="007C7126">
              <w:t>calls for at least two well controlled studies for establishing efficacy.    In practice it is common to see one combined induction and maintenance study and one induction only study in phase 3 to support both induction and maintenance claims.</w:t>
            </w:r>
            <w:r>
              <w:t xml:space="preserve"> </w:t>
            </w:r>
            <w:r w:rsidRPr="007C7126">
              <w:t xml:space="preserve">With this in mind we recommend </w:t>
            </w:r>
            <w:r>
              <w:t xml:space="preserve">considering </w:t>
            </w:r>
            <w:r w:rsidRPr="007C7126">
              <w:t xml:space="preserve">the following </w:t>
            </w:r>
            <w:r w:rsidR="0055562D">
              <w:t>addition to</w:t>
            </w:r>
            <w:r w:rsidRPr="007C7126">
              <w:t xml:space="preserve"> lines 74-76</w:t>
            </w:r>
            <w:r>
              <w:t>:</w:t>
            </w:r>
          </w:p>
          <w:p w14:paraId="2EF23D7C" w14:textId="77777777" w:rsidR="00AC5E71" w:rsidRDefault="00AC5E71" w:rsidP="00AC5E71">
            <w:pPr>
              <w:pStyle w:val="TabletextrowsAgency"/>
              <w:spacing w:line="240" w:lineRule="auto"/>
              <w:rPr>
                <w:u w:val="single"/>
              </w:rPr>
            </w:pPr>
            <w:r w:rsidRPr="007C7126">
              <w:t xml:space="preserve">“...A reflection of the possible claims for new substances goes along with the reflection and potential changes of the trial designs and </w:t>
            </w:r>
            <w:r w:rsidRPr="00AC5E71">
              <w:rPr>
                <w:b/>
                <w:i/>
                <w:u w:val="single"/>
              </w:rPr>
              <w:t>overall requirement of efficacy evidence to support approval in ulcerative colitis</w:t>
            </w:r>
            <w:r w:rsidRPr="007C7126">
              <w:rPr>
                <w:u w:val="single"/>
              </w:rPr>
              <w:t>...”</w:t>
            </w:r>
          </w:p>
          <w:p w14:paraId="1E2D8F32" w14:textId="77777777" w:rsidR="00843DC3" w:rsidRPr="00F41C13" w:rsidRDefault="00843DC3" w:rsidP="007C7126">
            <w:pPr>
              <w:jc w:val="both"/>
              <w:rPr>
                <w:b/>
                <w:color w:val="000000"/>
                <w:u w:val="single"/>
                <w:lang w:val="en-US"/>
              </w:rPr>
            </w:pPr>
            <w:r w:rsidRPr="00AC5E71">
              <w:rPr>
                <w:b/>
                <w:color w:val="000000"/>
                <w:u w:val="single"/>
                <w:lang w:val="en-US"/>
              </w:rPr>
              <w:lastRenderedPageBreak/>
              <w:t>Induction Endpoints</w:t>
            </w:r>
          </w:p>
          <w:p w14:paraId="54DB4023" w14:textId="77777777" w:rsidR="00843DC3" w:rsidRPr="007C7126" w:rsidRDefault="00843DC3" w:rsidP="007C7126">
            <w:pPr>
              <w:jc w:val="both"/>
              <w:rPr>
                <w:color w:val="000000"/>
                <w:lang w:val="en-US"/>
              </w:rPr>
            </w:pPr>
            <w:r w:rsidRPr="007C7126">
              <w:rPr>
                <w:color w:val="000000"/>
                <w:lang w:val="en-US"/>
              </w:rPr>
              <w:t>Clarification is needed on whether induction endpoints are still required if the induction/maintenance studies are merged into one study (a baseline and week 52 endpoint may alleviate the requirements for multiple endoscopies). Clarification is also needed on requirements for re-</w:t>
            </w:r>
            <w:proofErr w:type="spellStart"/>
            <w:r w:rsidRPr="007C7126">
              <w:rPr>
                <w:color w:val="000000"/>
                <w:lang w:val="en-US"/>
              </w:rPr>
              <w:t>randomisation</w:t>
            </w:r>
            <w:proofErr w:type="spellEnd"/>
            <w:r w:rsidRPr="007C7126">
              <w:rPr>
                <w:color w:val="000000"/>
                <w:lang w:val="en-US"/>
              </w:rPr>
              <w:t xml:space="preserve"> i.e. that interim endpoints (e.g. Wk 6/ Wk 8 and Wk 52) are acceptable without re-</w:t>
            </w:r>
            <w:proofErr w:type="spellStart"/>
            <w:r w:rsidRPr="007C7126">
              <w:rPr>
                <w:color w:val="000000"/>
                <w:lang w:val="en-US"/>
              </w:rPr>
              <w:t>randomisation</w:t>
            </w:r>
            <w:proofErr w:type="spellEnd"/>
            <w:r w:rsidRPr="007C7126">
              <w:rPr>
                <w:color w:val="000000"/>
                <w:lang w:val="en-US"/>
              </w:rPr>
              <w:t xml:space="preserve"> into the maintenance phase. The acceptability of both these points from a regulatory standpoint should be made clear in the guideline, albeit acknowledging the potential difference in label wording.</w:t>
            </w:r>
          </w:p>
          <w:p w14:paraId="7A3869C9" w14:textId="77777777" w:rsidR="00AC5E71" w:rsidRPr="007C7126" w:rsidRDefault="00AC5E71" w:rsidP="00D600A5">
            <w:pPr>
              <w:jc w:val="both"/>
            </w:pPr>
          </w:p>
        </w:tc>
        <w:tc>
          <w:tcPr>
            <w:tcW w:w="1537" w:type="pct"/>
            <w:shd w:val="clear" w:color="auto" w:fill="E1E3F2"/>
          </w:tcPr>
          <w:p w14:paraId="613F3383" w14:textId="77777777" w:rsidR="00843DC3" w:rsidRPr="007C7126" w:rsidRDefault="00843DC3" w:rsidP="007C7126">
            <w:pPr>
              <w:pStyle w:val="TabletextrowsAgency"/>
              <w:spacing w:line="240" w:lineRule="auto"/>
            </w:pPr>
          </w:p>
        </w:tc>
      </w:tr>
      <w:tr w:rsidR="005B6AFB" w:rsidRPr="007C7126" w14:paraId="0C0CC4D7" w14:textId="77777777">
        <w:tc>
          <w:tcPr>
            <w:tcW w:w="645" w:type="pct"/>
            <w:shd w:val="clear" w:color="auto" w:fill="E1E3F2"/>
          </w:tcPr>
          <w:p w14:paraId="5A0FF502" w14:textId="77777777" w:rsidR="005B6AFB" w:rsidRPr="007C7126" w:rsidRDefault="005B6AFB" w:rsidP="007C7126">
            <w:pPr>
              <w:pStyle w:val="TabletextrowsAgency"/>
              <w:spacing w:line="240" w:lineRule="auto"/>
            </w:pPr>
            <w:r w:rsidRPr="007C7126">
              <w:lastRenderedPageBreak/>
              <w:t>Line 82-83</w:t>
            </w:r>
          </w:p>
        </w:tc>
        <w:tc>
          <w:tcPr>
            <w:tcW w:w="812" w:type="pct"/>
            <w:shd w:val="clear" w:color="auto" w:fill="E1E3F2"/>
          </w:tcPr>
          <w:p w14:paraId="31373B7F" w14:textId="77777777" w:rsidR="005B6AFB" w:rsidRPr="007C7126" w:rsidRDefault="005B6AFB" w:rsidP="007C7126">
            <w:pPr>
              <w:pStyle w:val="TabletextrowsAgency"/>
              <w:spacing w:line="240" w:lineRule="auto"/>
            </w:pPr>
          </w:p>
        </w:tc>
        <w:tc>
          <w:tcPr>
            <w:tcW w:w="2006" w:type="pct"/>
            <w:shd w:val="clear" w:color="auto" w:fill="E1E3F2"/>
          </w:tcPr>
          <w:p w14:paraId="2EF254F3" w14:textId="77777777" w:rsidR="007C7126" w:rsidRDefault="005B6AFB" w:rsidP="007C7126">
            <w:pPr>
              <w:pStyle w:val="TabletextrowsAgency"/>
              <w:spacing w:line="240" w:lineRule="auto"/>
            </w:pPr>
            <w:r w:rsidRPr="007C7126">
              <w:rPr>
                <w:b/>
              </w:rPr>
              <w:t>Comment:</w:t>
            </w:r>
            <w:r w:rsidRPr="007C7126">
              <w:t xml:space="preserve"> </w:t>
            </w:r>
          </w:p>
          <w:p w14:paraId="21B1B1A4" w14:textId="77777777" w:rsidR="005B6AFB" w:rsidRDefault="005B6AFB" w:rsidP="007C7126">
            <w:pPr>
              <w:pStyle w:val="TabletextrowsAgency"/>
              <w:spacing w:line="240" w:lineRule="auto"/>
            </w:pPr>
            <w:r w:rsidRPr="007C7126">
              <w:t>The discussion section of the concept paper has a signif</w:t>
            </w:r>
            <w:r w:rsidR="00AC5E71">
              <w:t xml:space="preserve">icant piece on mucosal healing </w:t>
            </w:r>
            <w:r w:rsidRPr="007C7126">
              <w:t>in induction and remission and this is no</w:t>
            </w:r>
            <w:r w:rsidR="00AC5E71">
              <w:t xml:space="preserve">t reiterated in Recommendation </w:t>
            </w:r>
            <w:r w:rsidRPr="007C7126">
              <w:t>1 on endpoints in lines 82-83.</w:t>
            </w:r>
            <w:r w:rsidR="00AC5E71">
              <w:t xml:space="preserve"> It is expected the following will be included in further consideration:</w:t>
            </w:r>
          </w:p>
          <w:p w14:paraId="38F89F5E" w14:textId="77777777" w:rsidR="007C7126" w:rsidRPr="007C7126" w:rsidRDefault="007C7126" w:rsidP="007C7126">
            <w:pPr>
              <w:pStyle w:val="TabletextrowsAgency"/>
              <w:spacing w:line="240" w:lineRule="auto"/>
            </w:pPr>
          </w:p>
          <w:p w14:paraId="3506BB3B" w14:textId="77777777" w:rsidR="007C7126" w:rsidRDefault="003214E7" w:rsidP="007C7126">
            <w:pPr>
              <w:pStyle w:val="TabletextrowsAgency"/>
              <w:spacing w:line="240" w:lineRule="auto"/>
            </w:pPr>
            <w:r>
              <w:rPr>
                <w:b/>
              </w:rPr>
              <w:t>Proposed change</w:t>
            </w:r>
            <w:r w:rsidR="005B6AFB" w:rsidRPr="007C7126">
              <w:rPr>
                <w:b/>
              </w:rPr>
              <w:t>:</w:t>
            </w:r>
            <w:r w:rsidR="005B6AFB" w:rsidRPr="007C7126">
              <w:t xml:space="preserve"> </w:t>
            </w:r>
          </w:p>
          <w:p w14:paraId="5E49975B" w14:textId="77777777" w:rsidR="005B6AFB" w:rsidRDefault="005B6AFB" w:rsidP="007C7126">
            <w:pPr>
              <w:pStyle w:val="TabletextrowsAgency"/>
              <w:spacing w:line="240" w:lineRule="auto"/>
            </w:pPr>
            <w:r w:rsidRPr="007C7126">
              <w:t>2) The examination and potential revision of the recommendations for the primary and secondary endpoints</w:t>
            </w:r>
            <w:r w:rsidRPr="007C7126">
              <w:rPr>
                <w:u w:val="single"/>
              </w:rPr>
              <w:t xml:space="preserve"> </w:t>
            </w:r>
            <w:r w:rsidRPr="00AC5E71">
              <w:rPr>
                <w:b/>
                <w:i/>
                <w:u w:val="single"/>
              </w:rPr>
              <w:t>(including the assessment of mucosal healing through endoscopy and/or histology</w:t>
            </w:r>
            <w:r w:rsidRPr="00AC5E71">
              <w:rPr>
                <w:b/>
                <w:i/>
              </w:rPr>
              <w:t>)</w:t>
            </w:r>
            <w:r w:rsidRPr="007C7126">
              <w:t>, and for the principal design of the trials (including the comparator to be used).</w:t>
            </w:r>
          </w:p>
          <w:p w14:paraId="48405E7E" w14:textId="77777777" w:rsidR="003214E7" w:rsidRPr="007C7126" w:rsidRDefault="003214E7" w:rsidP="007C7126">
            <w:pPr>
              <w:pStyle w:val="TabletextrowsAgency"/>
              <w:spacing w:line="240" w:lineRule="auto"/>
            </w:pPr>
          </w:p>
        </w:tc>
        <w:tc>
          <w:tcPr>
            <w:tcW w:w="1537" w:type="pct"/>
            <w:shd w:val="clear" w:color="auto" w:fill="E1E3F2"/>
          </w:tcPr>
          <w:p w14:paraId="6875D8D8" w14:textId="77777777" w:rsidR="005B6AFB" w:rsidRPr="007C7126" w:rsidRDefault="005B6AFB" w:rsidP="007C7126">
            <w:pPr>
              <w:pStyle w:val="TabletextrowsAgency"/>
              <w:spacing w:line="240" w:lineRule="auto"/>
            </w:pPr>
          </w:p>
        </w:tc>
      </w:tr>
    </w:tbl>
    <w:p w14:paraId="60E834EF" w14:textId="77777777" w:rsidR="005D6621" w:rsidRDefault="005D6621" w:rsidP="007C7126">
      <w:pPr>
        <w:pStyle w:val="TableFigurenoteAgency"/>
        <w:spacing w:before="0" w:after="0"/>
      </w:pPr>
      <w:r w:rsidRPr="007C7126">
        <w:rPr>
          <w:sz w:val="18"/>
          <w:szCs w:val="18"/>
        </w:rPr>
        <w:t>Please ad</w:t>
      </w:r>
      <w:r>
        <w:t>d more rows if needed.</w:t>
      </w:r>
    </w:p>
    <w:sectPr w:rsidR="005D6621" w:rsidSect="00C87682">
      <w:pgSz w:w="16838" w:h="11906" w:orient="landscape" w:code="9"/>
      <w:pgMar w:top="1418" w:right="1134" w:bottom="1418" w:left="1134" w:header="737" w:footer="73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911A47" w14:textId="77777777" w:rsidR="003C0E2B" w:rsidRDefault="003C0E2B">
      <w:r>
        <w:separator/>
      </w:r>
    </w:p>
  </w:endnote>
  <w:endnote w:type="continuationSeparator" w:id="0">
    <w:p w14:paraId="26AD42DD" w14:textId="77777777" w:rsidR="003C0E2B" w:rsidRDefault="003C0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9590"/>
      <w:gridCol w:w="4980"/>
    </w:tblGrid>
    <w:tr w:rsidR="006F1F0E" w14:paraId="600D651B" w14:textId="77777777">
      <w:tc>
        <w:tcPr>
          <w:tcW w:w="5000" w:type="pct"/>
          <w:gridSpan w:val="2"/>
          <w:tcBorders>
            <w:top w:val="single" w:sz="2" w:space="0" w:color="auto"/>
            <w:left w:val="nil"/>
            <w:bottom w:val="nil"/>
            <w:right w:val="nil"/>
          </w:tcBorders>
          <w:tcMar>
            <w:left w:w="0" w:type="dxa"/>
            <w:right w:w="0" w:type="dxa"/>
          </w:tcMar>
        </w:tcPr>
        <w:p w14:paraId="529CAFB4" w14:textId="77777777" w:rsidR="006F1F0E" w:rsidRDefault="006F1F0E">
          <w:pPr>
            <w:pStyle w:val="FooterAgency"/>
          </w:pPr>
        </w:p>
      </w:tc>
    </w:tr>
    <w:tr w:rsidR="006F1F0E" w14:paraId="03769FDD" w14:textId="77777777">
      <w:trPr>
        <w:trHeight w:val="355"/>
      </w:trPr>
      <w:tc>
        <w:tcPr>
          <w:tcW w:w="3291" w:type="pct"/>
          <w:tcMar>
            <w:left w:w="0" w:type="dxa"/>
            <w:right w:w="0" w:type="dxa"/>
          </w:tcMar>
        </w:tcPr>
        <w:p w14:paraId="7CEC990B" w14:textId="77777777" w:rsidR="006F1F0E" w:rsidRDefault="006F1F0E">
          <w:pPr>
            <w:pStyle w:val="FooterAgency"/>
          </w:pPr>
        </w:p>
      </w:tc>
      <w:tc>
        <w:tcPr>
          <w:tcW w:w="1709" w:type="pct"/>
          <w:tcMar>
            <w:left w:w="0" w:type="dxa"/>
            <w:right w:w="0" w:type="dxa"/>
          </w:tcMar>
        </w:tcPr>
        <w:p w14:paraId="1BB82BD7" w14:textId="77777777" w:rsidR="006F1F0E" w:rsidRDefault="006F1F0E">
          <w:pPr>
            <w:pStyle w:val="FooterAgency"/>
          </w:pPr>
        </w:p>
      </w:tc>
    </w:tr>
    <w:tr w:rsidR="006F1F0E" w14:paraId="613A522B" w14:textId="77777777">
      <w:tc>
        <w:tcPr>
          <w:tcW w:w="3291" w:type="pct"/>
          <w:tcMar>
            <w:left w:w="0" w:type="dxa"/>
            <w:right w:w="0" w:type="dxa"/>
          </w:tcMar>
        </w:tcPr>
        <w:p w14:paraId="78DFA312" w14:textId="77777777" w:rsidR="006F1F0E" w:rsidRDefault="006F1F0E">
          <w:pPr>
            <w:pStyle w:val="FooterAgency"/>
          </w:pPr>
        </w:p>
      </w:tc>
      <w:tc>
        <w:tcPr>
          <w:tcW w:w="1709" w:type="pct"/>
          <w:tcMar>
            <w:left w:w="0" w:type="dxa"/>
            <w:right w:w="0" w:type="dxa"/>
          </w:tcMar>
        </w:tcPr>
        <w:p w14:paraId="367FD5D0" w14:textId="77777777" w:rsidR="006F1F0E" w:rsidRDefault="002E7A38">
          <w:pPr>
            <w:pStyle w:val="PagenumberAgency"/>
            <w:ind w:right="210"/>
          </w:pPr>
          <w:r>
            <w:fldChar w:fldCharType="begin"/>
          </w:r>
          <w:r>
            <w:instrText xml:space="preserve"> PAGE </w:instrText>
          </w:r>
          <w:r>
            <w:fldChar w:fldCharType="separate"/>
          </w:r>
          <w:r w:rsidR="008D1076">
            <w:rPr>
              <w:noProof/>
            </w:rPr>
            <w:t>12</w:t>
          </w:r>
          <w:r>
            <w:rPr>
              <w:noProof/>
            </w:rPr>
            <w:fldChar w:fldCharType="end"/>
          </w:r>
          <w:r w:rsidR="006F1F0E">
            <w:t>/</w:t>
          </w:r>
          <w:r>
            <w:fldChar w:fldCharType="begin"/>
          </w:r>
          <w:r>
            <w:instrText xml:space="preserve"> NUMPAGES </w:instrText>
          </w:r>
          <w:r>
            <w:fldChar w:fldCharType="separate"/>
          </w:r>
          <w:r w:rsidR="008D1076">
            <w:rPr>
              <w:noProof/>
            </w:rPr>
            <w:t>12</w:t>
          </w:r>
          <w:r>
            <w:rPr>
              <w:noProof/>
            </w:rPr>
            <w:fldChar w:fldCharType="end"/>
          </w:r>
        </w:p>
      </w:tc>
    </w:tr>
  </w:tbl>
  <w:p w14:paraId="156F3203" w14:textId="77777777" w:rsidR="006F1F0E" w:rsidRDefault="006F1F0E">
    <w:pPr>
      <w:pStyle w:val="FooterAgency"/>
      <w:rPr>
        <w:rStyle w:val="PageNumber"/>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6206"/>
      <w:gridCol w:w="3207"/>
    </w:tblGrid>
    <w:tr w:rsidR="006F1F0E" w14:paraId="155B0E9B" w14:textId="77777777">
      <w:tc>
        <w:tcPr>
          <w:tcW w:w="9413" w:type="dxa"/>
          <w:gridSpan w:val="2"/>
          <w:tcBorders>
            <w:top w:val="single" w:sz="2" w:space="0" w:color="auto"/>
            <w:left w:val="nil"/>
            <w:bottom w:val="nil"/>
            <w:right w:val="nil"/>
          </w:tcBorders>
          <w:tcMar>
            <w:left w:w="0" w:type="dxa"/>
            <w:right w:w="0" w:type="dxa"/>
          </w:tcMar>
          <w:vAlign w:val="bottom"/>
        </w:tcPr>
        <w:p w14:paraId="28C7D59F" w14:textId="77777777" w:rsidR="006F1F0E" w:rsidRDefault="006F1F0E">
          <w:pPr>
            <w:pStyle w:val="FooterAgency"/>
          </w:pPr>
        </w:p>
      </w:tc>
    </w:tr>
    <w:tr w:rsidR="006F1F0E" w14:paraId="0A5DE5E0" w14:textId="77777777">
      <w:trPr>
        <w:cantSplit/>
        <w:trHeight w:hRule="exact" w:val="198"/>
      </w:trPr>
      <w:tc>
        <w:tcPr>
          <w:tcW w:w="6206" w:type="dxa"/>
          <w:tcMar>
            <w:left w:w="0" w:type="dxa"/>
            <w:right w:w="0" w:type="dxa"/>
          </w:tcMar>
          <w:vAlign w:val="bottom"/>
        </w:tcPr>
        <w:p w14:paraId="614BFB9E" w14:textId="77777777" w:rsidR="006F1F0E" w:rsidRDefault="006F1F0E">
          <w:pPr>
            <w:pStyle w:val="FooterAgency"/>
          </w:pPr>
          <w:r>
            <w:t xml:space="preserve">7 Westferry Circus </w:t>
          </w:r>
          <w:r>
            <w:rPr>
              <w:rStyle w:val="FooterblueAgencyCharChar"/>
            </w:rPr>
            <w:t>●</w:t>
          </w:r>
          <w:r>
            <w:t xml:space="preserve"> Canary Wharf </w:t>
          </w:r>
          <w:r>
            <w:rPr>
              <w:rStyle w:val="FooterblueAgencyCharChar"/>
            </w:rPr>
            <w:t>●</w:t>
          </w:r>
          <w:r>
            <w:t xml:space="preserve"> London E14 4HB </w:t>
          </w:r>
          <w:r>
            <w:rPr>
              <w:rStyle w:val="FooterblueAgencyCharChar"/>
            </w:rPr>
            <w:t>●</w:t>
          </w:r>
          <w:r>
            <w:t xml:space="preserve"> United Kingdom</w:t>
          </w:r>
        </w:p>
      </w:tc>
      <w:tc>
        <w:tcPr>
          <w:tcW w:w="3207" w:type="dxa"/>
          <w:vMerge w:val="restart"/>
          <w:tcMar>
            <w:left w:w="0" w:type="dxa"/>
            <w:right w:w="0" w:type="dxa"/>
          </w:tcMar>
          <w:vAlign w:val="bottom"/>
        </w:tcPr>
        <w:tbl>
          <w:tblPr>
            <w:tblW w:w="0" w:type="auto"/>
            <w:jc w:val="right"/>
            <w:tblLook w:val="01E0" w:firstRow="1" w:lastRow="1" w:firstColumn="1" w:lastColumn="1" w:noHBand="0" w:noVBand="0"/>
          </w:tblPr>
          <w:tblGrid>
            <w:gridCol w:w="2449"/>
            <w:gridCol w:w="758"/>
          </w:tblGrid>
          <w:tr w:rsidR="006F1F0E" w14:paraId="42CB306D" w14:textId="77777777">
            <w:trPr>
              <w:cantSplit/>
              <w:trHeight w:val="180"/>
              <w:tblHeader/>
              <w:jc w:val="right"/>
            </w:trPr>
            <w:tc>
              <w:tcPr>
                <w:tcW w:w="2478" w:type="dxa"/>
                <w:vMerge w:val="restart"/>
                <w:tcBorders>
                  <w:top w:val="nil"/>
                  <w:left w:val="nil"/>
                  <w:bottom w:val="nil"/>
                  <w:right w:val="nil"/>
                </w:tcBorders>
                <w:vAlign w:val="bottom"/>
              </w:tcPr>
              <w:p w14:paraId="3B00B5CA" w14:textId="77777777" w:rsidR="006F1F0E" w:rsidRDefault="006F1F0E">
                <w:pPr>
                  <w:pStyle w:val="FooterAgency"/>
                  <w:jc w:val="right"/>
                </w:pPr>
                <w:r>
                  <w:rPr>
                    <w:sz w:val="11"/>
                    <w:szCs w:val="11"/>
                  </w:rPr>
                  <w:t xml:space="preserve">An agency of the European Union  </w:t>
                </w:r>
              </w:p>
            </w:tc>
            <w:tc>
              <w:tcPr>
                <w:tcW w:w="709" w:type="dxa"/>
                <w:vMerge w:val="restart"/>
                <w:tcBorders>
                  <w:top w:val="nil"/>
                  <w:left w:val="nil"/>
                  <w:bottom w:val="nil"/>
                  <w:right w:val="nil"/>
                </w:tcBorders>
                <w:tcMar>
                  <w:right w:w="6" w:type="dxa"/>
                </w:tcMar>
                <w:vAlign w:val="bottom"/>
              </w:tcPr>
              <w:p w14:paraId="254AD49C" w14:textId="77777777" w:rsidR="006F1F0E" w:rsidRDefault="00050C93">
                <w:pPr>
                  <w:pStyle w:val="FooterAgency"/>
                  <w:jc w:val="right"/>
                </w:pPr>
                <w:r>
                  <w:rPr>
                    <w:noProof/>
                    <w:lang w:val="en-US" w:eastAsia="en-US"/>
                  </w:rPr>
                  <w:drawing>
                    <wp:inline distT="0" distB="0" distL="0" distR="0" wp14:anchorId="6E9D3646" wp14:editId="2037FEDD">
                      <wp:extent cx="389890" cy="270510"/>
                      <wp:effectExtent l="19050" t="0" r="0" b="0"/>
                      <wp:docPr id="2" name="Picture 2" descr="EU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U Logo"/>
                              <pic:cNvPicPr>
                                <a:picLocks noChangeArrowheads="1"/>
                              </pic:cNvPicPr>
                            </pic:nvPicPr>
                            <pic:blipFill>
                              <a:blip r:embed="rId1"/>
                              <a:srcRect/>
                              <a:stretch>
                                <a:fillRect/>
                              </a:stretch>
                            </pic:blipFill>
                            <pic:spPr bwMode="auto">
                              <a:xfrm>
                                <a:off x="0" y="0"/>
                                <a:ext cx="389890" cy="270510"/>
                              </a:xfrm>
                              <a:prstGeom prst="rect">
                                <a:avLst/>
                              </a:prstGeom>
                              <a:noFill/>
                              <a:ln w="9525">
                                <a:noFill/>
                                <a:miter lim="800000"/>
                                <a:headEnd/>
                                <a:tailEnd/>
                              </a:ln>
                            </pic:spPr>
                          </pic:pic>
                        </a:graphicData>
                      </a:graphic>
                    </wp:inline>
                  </w:drawing>
                </w:r>
              </w:p>
            </w:tc>
          </w:tr>
          <w:tr w:rsidR="006F1F0E" w14:paraId="2AE9E60A" w14:textId="77777777">
            <w:trPr>
              <w:cantSplit/>
              <w:trHeight w:val="390"/>
              <w:jc w:val="right"/>
            </w:trPr>
            <w:tc>
              <w:tcPr>
                <w:tcW w:w="2478" w:type="dxa"/>
                <w:vMerge/>
                <w:vAlign w:val="bottom"/>
              </w:tcPr>
              <w:p w14:paraId="080D9194" w14:textId="77777777" w:rsidR="006F1F0E" w:rsidRDefault="006F1F0E">
                <w:pPr>
                  <w:pStyle w:val="FooterAgency"/>
                </w:pPr>
              </w:p>
            </w:tc>
            <w:tc>
              <w:tcPr>
                <w:tcW w:w="709" w:type="dxa"/>
                <w:vMerge/>
                <w:vAlign w:val="bottom"/>
              </w:tcPr>
              <w:p w14:paraId="0B96954A" w14:textId="77777777" w:rsidR="006F1F0E" w:rsidRDefault="006F1F0E">
                <w:pPr>
                  <w:pStyle w:val="FooterAgency"/>
                </w:pPr>
              </w:p>
            </w:tc>
          </w:tr>
        </w:tbl>
        <w:p w14:paraId="6A2AE346" w14:textId="77777777" w:rsidR="006F1F0E" w:rsidRDefault="006F1F0E">
          <w:pPr>
            <w:pStyle w:val="FooterAgency"/>
            <w:widowControl w:val="0"/>
            <w:adjustRightInd w:val="0"/>
            <w:jc w:val="right"/>
          </w:pPr>
        </w:p>
      </w:tc>
    </w:tr>
    <w:tr w:rsidR="006F1F0E" w14:paraId="5B5B4CA6" w14:textId="77777777">
      <w:trPr>
        <w:cantSplit/>
        <w:trHeight w:val="390"/>
      </w:trPr>
      <w:tc>
        <w:tcPr>
          <w:tcW w:w="6206" w:type="dxa"/>
          <w:tcMar>
            <w:left w:w="0" w:type="dxa"/>
            <w:right w:w="0" w:type="dxa"/>
          </w:tcMar>
          <w:vAlign w:val="bottom"/>
        </w:tcPr>
        <w:tbl>
          <w:tblPr>
            <w:tblW w:w="0" w:type="auto"/>
            <w:tblCellMar>
              <w:left w:w="0" w:type="dxa"/>
              <w:right w:w="0" w:type="dxa"/>
            </w:tblCellMar>
            <w:tblLook w:val="01E0" w:firstRow="1" w:lastRow="1" w:firstColumn="1" w:lastColumn="1" w:noHBand="0" w:noVBand="0"/>
          </w:tblPr>
          <w:tblGrid>
            <w:gridCol w:w="522"/>
            <w:gridCol w:w="318"/>
            <w:gridCol w:w="1248"/>
            <w:gridCol w:w="400"/>
            <w:gridCol w:w="249"/>
            <w:gridCol w:w="477"/>
            <w:gridCol w:w="2767"/>
          </w:tblGrid>
          <w:tr w:rsidR="006F1F0E" w14:paraId="2768EA6A" w14:textId="77777777">
            <w:trPr>
              <w:trHeight w:hRule="exact" w:val="198"/>
            </w:trPr>
            <w:tc>
              <w:tcPr>
                <w:tcW w:w="840" w:type="dxa"/>
                <w:gridSpan w:val="2"/>
                <w:vAlign w:val="bottom"/>
              </w:tcPr>
              <w:p w14:paraId="4F487600" w14:textId="77777777" w:rsidR="006F1F0E" w:rsidRDefault="006F1F0E">
                <w:pPr>
                  <w:pStyle w:val="FooterblueAgency"/>
                </w:pPr>
                <w:r>
                  <w:t>Telephone</w:t>
                </w:r>
              </w:p>
            </w:tc>
            <w:tc>
              <w:tcPr>
                <w:tcW w:w="1648" w:type="dxa"/>
                <w:gridSpan w:val="2"/>
                <w:vAlign w:val="bottom"/>
              </w:tcPr>
              <w:p w14:paraId="29E3BD9C" w14:textId="77777777" w:rsidR="006F1F0E" w:rsidRDefault="006F1F0E">
                <w:pPr>
                  <w:pStyle w:val="FooterAgency"/>
                </w:pPr>
                <w:r>
                  <w:t>+44 (0)20 7418 8400</w:t>
                </w:r>
              </w:p>
            </w:tc>
            <w:tc>
              <w:tcPr>
                <w:tcW w:w="726" w:type="dxa"/>
                <w:gridSpan w:val="2"/>
                <w:vAlign w:val="bottom"/>
              </w:tcPr>
              <w:p w14:paraId="20EDDAD2" w14:textId="77777777" w:rsidR="006F1F0E" w:rsidRDefault="006F1F0E">
                <w:pPr>
                  <w:pStyle w:val="FooterblueAgency"/>
                </w:pPr>
                <w:r>
                  <w:t>Facsimile</w:t>
                </w:r>
              </w:p>
            </w:tc>
            <w:tc>
              <w:tcPr>
                <w:tcW w:w="2767" w:type="dxa"/>
                <w:vAlign w:val="bottom"/>
              </w:tcPr>
              <w:p w14:paraId="5FF07943" w14:textId="77777777" w:rsidR="006F1F0E" w:rsidRDefault="006F1F0E">
                <w:pPr>
                  <w:pStyle w:val="FooterAgency"/>
                </w:pPr>
                <w:r>
                  <w:t>+44 (0)20 7418 8416</w:t>
                </w:r>
              </w:p>
            </w:tc>
          </w:tr>
          <w:tr w:rsidR="006F1F0E" w14:paraId="1E5552F7" w14:textId="77777777">
            <w:trPr>
              <w:trHeight w:hRule="exact" w:val="198"/>
            </w:trPr>
            <w:tc>
              <w:tcPr>
                <w:tcW w:w="522" w:type="dxa"/>
                <w:vAlign w:val="bottom"/>
              </w:tcPr>
              <w:p w14:paraId="7EF5ADA2" w14:textId="77777777" w:rsidR="006F1F0E" w:rsidRDefault="006F1F0E">
                <w:pPr>
                  <w:pStyle w:val="FooterblueAgency"/>
                </w:pPr>
                <w:r>
                  <w:t>E-mail</w:t>
                </w:r>
              </w:p>
            </w:tc>
            <w:tc>
              <w:tcPr>
                <w:tcW w:w="1566" w:type="dxa"/>
                <w:gridSpan w:val="2"/>
                <w:vAlign w:val="bottom"/>
              </w:tcPr>
              <w:p w14:paraId="32132AD8" w14:textId="77777777" w:rsidR="006F1F0E" w:rsidRDefault="006F1F0E">
                <w:pPr>
                  <w:pStyle w:val="FooterAgency"/>
                </w:pPr>
                <w:r>
                  <w:t>info@ema.europa.eu</w:t>
                </w:r>
              </w:p>
            </w:tc>
            <w:tc>
              <w:tcPr>
                <w:tcW w:w="649" w:type="dxa"/>
                <w:gridSpan w:val="2"/>
                <w:vAlign w:val="bottom"/>
              </w:tcPr>
              <w:p w14:paraId="245F7836" w14:textId="77777777" w:rsidR="006F1F0E" w:rsidRDefault="006F1F0E">
                <w:pPr>
                  <w:pStyle w:val="FooterblueAgency"/>
                </w:pPr>
                <w:r>
                  <w:t>Website</w:t>
                </w:r>
              </w:p>
            </w:tc>
            <w:tc>
              <w:tcPr>
                <w:tcW w:w="3244" w:type="dxa"/>
                <w:gridSpan w:val="2"/>
                <w:vAlign w:val="bottom"/>
              </w:tcPr>
              <w:p w14:paraId="7D937DFD" w14:textId="77777777" w:rsidR="006F1F0E" w:rsidRDefault="006F1F0E">
                <w:pPr>
                  <w:pStyle w:val="FooterAgency"/>
                </w:pPr>
                <w:r>
                  <w:t>www.ema.europa.eu</w:t>
                </w:r>
              </w:p>
            </w:tc>
          </w:tr>
        </w:tbl>
        <w:p w14:paraId="4A5C918A" w14:textId="77777777" w:rsidR="006F1F0E" w:rsidRDefault="006F1F0E">
          <w:pPr>
            <w:pStyle w:val="FooterAgency"/>
          </w:pPr>
        </w:p>
      </w:tc>
      <w:tc>
        <w:tcPr>
          <w:tcW w:w="3207" w:type="dxa"/>
          <w:vMerge/>
          <w:tcMar>
            <w:left w:w="0" w:type="dxa"/>
            <w:right w:w="0" w:type="dxa"/>
          </w:tcMar>
          <w:vAlign w:val="bottom"/>
        </w:tcPr>
        <w:p w14:paraId="5C4843BB" w14:textId="77777777" w:rsidR="006F1F0E" w:rsidRDefault="006F1F0E">
          <w:pPr>
            <w:pStyle w:val="FooterAgency"/>
          </w:pPr>
        </w:p>
      </w:tc>
    </w:tr>
    <w:tr w:rsidR="006F1F0E" w14:paraId="6BED8468" w14:textId="77777777">
      <w:tc>
        <w:tcPr>
          <w:tcW w:w="9413" w:type="dxa"/>
          <w:gridSpan w:val="2"/>
          <w:tcMar>
            <w:left w:w="0" w:type="dxa"/>
            <w:right w:w="0" w:type="dxa"/>
          </w:tcMar>
          <w:vAlign w:val="bottom"/>
        </w:tcPr>
        <w:p w14:paraId="589875D6" w14:textId="77777777" w:rsidR="006F1F0E" w:rsidRDefault="006F1F0E">
          <w:pPr>
            <w:pStyle w:val="FooterAgency"/>
          </w:pPr>
        </w:p>
      </w:tc>
    </w:tr>
    <w:tr w:rsidR="006F1F0E" w14:paraId="440B5818" w14:textId="77777777">
      <w:tc>
        <w:tcPr>
          <w:tcW w:w="9413" w:type="dxa"/>
          <w:gridSpan w:val="2"/>
          <w:tcMar>
            <w:left w:w="0" w:type="dxa"/>
            <w:right w:w="0" w:type="dxa"/>
          </w:tcMar>
          <w:vAlign w:val="bottom"/>
        </w:tcPr>
        <w:p w14:paraId="11FD78AE" w14:textId="77777777" w:rsidR="006F1F0E" w:rsidRDefault="006F1F0E">
          <w:pPr>
            <w:pStyle w:val="FooterAgency"/>
            <w:jc w:val="center"/>
          </w:pPr>
        </w:p>
      </w:tc>
    </w:tr>
  </w:tbl>
  <w:p w14:paraId="023F62FE" w14:textId="77777777" w:rsidR="006F1F0E" w:rsidRDefault="006F1F0E">
    <w:pPr>
      <w:pStyle w:val="FooterAgency"/>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43A3F1" w14:textId="77777777" w:rsidR="003C0E2B" w:rsidRDefault="003C0E2B">
      <w:r>
        <w:separator/>
      </w:r>
    </w:p>
  </w:footnote>
  <w:footnote w:type="continuationSeparator" w:id="0">
    <w:p w14:paraId="43268B4D" w14:textId="77777777" w:rsidR="003C0E2B" w:rsidRDefault="003C0E2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A1CDE" w14:textId="77777777" w:rsidR="006F1F0E" w:rsidRDefault="00050C93">
    <w:pPr>
      <w:pStyle w:val="FooterAgency"/>
      <w:jc w:val="center"/>
    </w:pPr>
    <w:r>
      <w:rPr>
        <w:noProof/>
        <w:lang w:val="en-US" w:eastAsia="en-US"/>
      </w:rPr>
      <w:drawing>
        <wp:inline distT="0" distB="0" distL="0" distR="0" wp14:anchorId="276B7AEB" wp14:editId="61575678">
          <wp:extent cx="3562350" cy="1797050"/>
          <wp:effectExtent l="19050" t="0" r="0" b="0"/>
          <wp:docPr id="1" name="Picture 1" descr="Logo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SWord"/>
                  <pic:cNvPicPr>
                    <a:picLocks noChangeAspect="1" noChangeArrowheads="1"/>
                  </pic:cNvPicPr>
                </pic:nvPicPr>
                <pic:blipFill>
                  <a:blip r:embed="rId1"/>
                  <a:srcRect/>
                  <a:stretch>
                    <a:fillRect/>
                  </a:stretch>
                </pic:blipFill>
                <pic:spPr bwMode="auto">
                  <a:xfrm>
                    <a:off x="0" y="0"/>
                    <a:ext cx="3562350" cy="1797050"/>
                  </a:xfrm>
                  <a:prstGeom prst="rect">
                    <a:avLst/>
                  </a:prstGeom>
                  <a:noFill/>
                  <a:ln w="9525">
                    <a:noFill/>
                    <a:miter lim="800000"/>
                    <a:headEnd/>
                    <a:tailEnd/>
                  </a:ln>
                </pic:spPr>
              </pic:pic>
            </a:graphicData>
          </a:graphic>
        </wp:inline>
      </w:drawing>
    </w:r>
    <w:r w:rsidR="006F1F0E">
      <w:rPr>
        <w:vanish/>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3CCF2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42E5E9A"/>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80B050B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C49645A6"/>
    <w:lvl w:ilvl="0">
      <w:start w:val="1"/>
      <w:numFmt w:val="decimal"/>
      <w:pStyle w:val="ListNumber3"/>
      <w:lvlText w:val="%1."/>
      <w:lvlJc w:val="left"/>
      <w:pPr>
        <w:tabs>
          <w:tab w:val="num" w:pos="926"/>
        </w:tabs>
        <w:ind w:left="926" w:hanging="360"/>
      </w:pPr>
    </w:lvl>
  </w:abstractNum>
  <w:abstractNum w:abstractNumId="4">
    <w:nsid w:val="FFFFFF7F"/>
    <w:multiLevelType w:val="singleLevel"/>
    <w:tmpl w:val="C434B898"/>
    <w:lvl w:ilvl="0">
      <w:start w:val="1"/>
      <w:numFmt w:val="decimal"/>
      <w:pStyle w:val="ListNumber2"/>
      <w:lvlText w:val="%1."/>
      <w:lvlJc w:val="left"/>
      <w:pPr>
        <w:tabs>
          <w:tab w:val="num" w:pos="643"/>
        </w:tabs>
        <w:ind w:left="643" w:hanging="360"/>
      </w:pPr>
    </w:lvl>
  </w:abstractNum>
  <w:abstractNum w:abstractNumId="5">
    <w:nsid w:val="FFFFFF80"/>
    <w:multiLevelType w:val="singleLevel"/>
    <w:tmpl w:val="473E9B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7AE4EF50"/>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6B169842"/>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8E26BB06"/>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4C9A0988"/>
    <w:lvl w:ilvl="0">
      <w:start w:val="1"/>
      <w:numFmt w:val="decimal"/>
      <w:pStyle w:val="ListNumber"/>
      <w:lvlText w:val="%1."/>
      <w:lvlJc w:val="left"/>
      <w:pPr>
        <w:tabs>
          <w:tab w:val="num" w:pos="360"/>
        </w:tabs>
        <w:ind w:left="360" w:hanging="360"/>
      </w:pPr>
    </w:lvl>
  </w:abstractNum>
  <w:abstractNum w:abstractNumId="10">
    <w:nsid w:val="FFFFFF89"/>
    <w:multiLevelType w:val="singleLevel"/>
    <w:tmpl w:val="9538275E"/>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85F4D74"/>
    <w:multiLevelType w:val="multilevel"/>
    <w:tmpl w:val="A02E932A"/>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2">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1C9A004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E64282B"/>
    <w:multiLevelType w:val="multilevel"/>
    <w:tmpl w:val="7614763A"/>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6">
    <w:nsid w:val="26245CA9"/>
    <w:multiLevelType w:val="hybridMultilevel"/>
    <w:tmpl w:val="7F86AA3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nsid w:val="3F3471B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19">
    <w:nsid w:val="6659305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7FF65E09"/>
    <w:multiLevelType w:val="hybridMultilevel"/>
    <w:tmpl w:val="9BCED0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13"/>
  </w:num>
  <w:num w:numId="3">
    <w:abstractNumId w:val="18"/>
  </w:num>
  <w:num w:numId="4">
    <w:abstractNumId w:val="18"/>
  </w:num>
  <w:num w:numId="5">
    <w:abstractNumId w:val="18"/>
  </w:num>
  <w:num w:numId="6">
    <w:abstractNumId w:val="18"/>
  </w:num>
  <w:num w:numId="7">
    <w:abstractNumId w:val="18"/>
  </w:num>
  <w:num w:numId="8">
    <w:abstractNumId w:val="18"/>
  </w:num>
  <w:num w:numId="9">
    <w:abstractNumId w:val="18"/>
  </w:num>
  <w:num w:numId="10">
    <w:abstractNumId w:val="18"/>
  </w:num>
  <w:num w:numId="11">
    <w:abstractNumId w:val="18"/>
  </w:num>
  <w:num w:numId="12">
    <w:abstractNumId w:val="15"/>
  </w:num>
  <w:num w:numId="13">
    <w:abstractNumId w:val="12"/>
  </w:num>
  <w:num w:numId="14">
    <w:abstractNumId w:val="19"/>
  </w:num>
  <w:num w:numId="15">
    <w:abstractNumId w:val="14"/>
  </w:num>
  <w:num w:numId="16">
    <w:abstractNumId w:val="17"/>
  </w:num>
  <w:num w:numId="17">
    <w:abstractNumId w:val="10"/>
  </w:num>
  <w:num w:numId="18">
    <w:abstractNumId w:val="8"/>
  </w:num>
  <w:num w:numId="19">
    <w:abstractNumId w:val="7"/>
  </w:num>
  <w:num w:numId="20">
    <w:abstractNumId w:val="6"/>
  </w:num>
  <w:num w:numId="21">
    <w:abstractNumId w:val="5"/>
  </w:num>
  <w:num w:numId="22">
    <w:abstractNumId w:val="9"/>
  </w:num>
  <w:num w:numId="23">
    <w:abstractNumId w:val="4"/>
  </w:num>
  <w:num w:numId="24">
    <w:abstractNumId w:val="3"/>
  </w:num>
  <w:num w:numId="25">
    <w:abstractNumId w:val="2"/>
  </w:num>
  <w:num w:numId="26">
    <w:abstractNumId w:val="1"/>
  </w:num>
  <w:num w:numId="27">
    <w:abstractNumId w:val="11"/>
  </w:num>
  <w:num w:numId="28">
    <w:abstractNumId w:val="13"/>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18"/>
  </w:num>
  <w:num w:numId="38">
    <w:abstractNumId w:val="15"/>
  </w:num>
  <w:num w:numId="39">
    <w:abstractNumId w:val="12"/>
  </w:num>
  <w:num w:numId="40">
    <w:abstractNumId w:val="0"/>
  </w:num>
  <w:num w:numId="41">
    <w:abstractNumId w:val="20"/>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ocumentProtection w:edit="readOnly" w:enforcement="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FB3"/>
    <w:rsid w:val="00017F57"/>
    <w:rsid w:val="00046177"/>
    <w:rsid w:val="00050C93"/>
    <w:rsid w:val="00054F17"/>
    <w:rsid w:val="000560D9"/>
    <w:rsid w:val="00096D3B"/>
    <w:rsid w:val="00120849"/>
    <w:rsid w:val="001357C2"/>
    <w:rsid w:val="001600EF"/>
    <w:rsid w:val="00165C64"/>
    <w:rsid w:val="001C2C42"/>
    <w:rsid w:val="001E6C7E"/>
    <w:rsid w:val="001F3855"/>
    <w:rsid w:val="002027F4"/>
    <w:rsid w:val="00212AB1"/>
    <w:rsid w:val="00225807"/>
    <w:rsid w:val="0029461E"/>
    <w:rsid w:val="00297A4B"/>
    <w:rsid w:val="002E7A38"/>
    <w:rsid w:val="00304E6B"/>
    <w:rsid w:val="003214E7"/>
    <w:rsid w:val="00395DF3"/>
    <w:rsid w:val="003A2653"/>
    <w:rsid w:val="003C0E2B"/>
    <w:rsid w:val="003C4D6F"/>
    <w:rsid w:val="0045621C"/>
    <w:rsid w:val="00493566"/>
    <w:rsid w:val="004A383E"/>
    <w:rsid w:val="004A78C1"/>
    <w:rsid w:val="004B5076"/>
    <w:rsid w:val="004D6B34"/>
    <w:rsid w:val="004E7520"/>
    <w:rsid w:val="004F7E2C"/>
    <w:rsid w:val="005039B4"/>
    <w:rsid w:val="00507420"/>
    <w:rsid w:val="0055562D"/>
    <w:rsid w:val="00566ECD"/>
    <w:rsid w:val="00571783"/>
    <w:rsid w:val="005B6AFB"/>
    <w:rsid w:val="005D6621"/>
    <w:rsid w:val="005D7F6F"/>
    <w:rsid w:val="00642B5C"/>
    <w:rsid w:val="006F1F0E"/>
    <w:rsid w:val="006F357D"/>
    <w:rsid w:val="007B1656"/>
    <w:rsid w:val="007C0578"/>
    <w:rsid w:val="007C7126"/>
    <w:rsid w:val="007E5910"/>
    <w:rsid w:val="00811BA8"/>
    <w:rsid w:val="00843DC3"/>
    <w:rsid w:val="00845277"/>
    <w:rsid w:val="008D1076"/>
    <w:rsid w:val="008D487F"/>
    <w:rsid w:val="008E5EBA"/>
    <w:rsid w:val="008F0457"/>
    <w:rsid w:val="00912039"/>
    <w:rsid w:val="00913FB3"/>
    <w:rsid w:val="009253D5"/>
    <w:rsid w:val="009273E8"/>
    <w:rsid w:val="0095395A"/>
    <w:rsid w:val="009C264B"/>
    <w:rsid w:val="00A20706"/>
    <w:rsid w:val="00A25180"/>
    <w:rsid w:val="00AC5E71"/>
    <w:rsid w:val="00B04717"/>
    <w:rsid w:val="00B14180"/>
    <w:rsid w:val="00B56F10"/>
    <w:rsid w:val="00BC5B8F"/>
    <w:rsid w:val="00BC5E7B"/>
    <w:rsid w:val="00BD434B"/>
    <w:rsid w:val="00BE0536"/>
    <w:rsid w:val="00C157E3"/>
    <w:rsid w:val="00C24C78"/>
    <w:rsid w:val="00C87682"/>
    <w:rsid w:val="00CB66CC"/>
    <w:rsid w:val="00CD21C0"/>
    <w:rsid w:val="00CE7221"/>
    <w:rsid w:val="00CF4EE8"/>
    <w:rsid w:val="00D23260"/>
    <w:rsid w:val="00D600A5"/>
    <w:rsid w:val="00E657FE"/>
    <w:rsid w:val="00E678FA"/>
    <w:rsid w:val="00EB6901"/>
    <w:rsid w:val="00ED76B6"/>
    <w:rsid w:val="00EF7AE4"/>
    <w:rsid w:val="00F17C08"/>
    <w:rsid w:val="00F41C13"/>
    <w:rsid w:val="00F96256"/>
    <w:rsid w:val="00FC3195"/>
    <w:rsid w:val="00FE167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C8AE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682"/>
    <w:rPr>
      <w:rFonts w:ascii="Verdana" w:hAnsi="Verdana" w:cs="Verdana"/>
      <w:sz w:val="18"/>
      <w:szCs w:val="18"/>
      <w:lang w:val="en-GB" w:eastAsia="zh-CN"/>
    </w:rPr>
  </w:style>
  <w:style w:type="paragraph" w:styleId="Heading1">
    <w:name w:val="heading 1"/>
    <w:basedOn w:val="No-numheading1Agency"/>
    <w:next w:val="BodytextAgency"/>
    <w:qFormat/>
    <w:rsid w:val="00C87682"/>
    <w:rPr>
      <w:noProof/>
    </w:rPr>
  </w:style>
  <w:style w:type="paragraph" w:styleId="Heading2">
    <w:name w:val="heading 2"/>
    <w:basedOn w:val="No-numheading2Agency"/>
    <w:next w:val="BodytextAgency"/>
    <w:qFormat/>
    <w:rsid w:val="00C87682"/>
  </w:style>
  <w:style w:type="paragraph" w:styleId="Heading3">
    <w:name w:val="heading 3"/>
    <w:basedOn w:val="No-numheading3Agency"/>
    <w:next w:val="BodytextAgency"/>
    <w:qFormat/>
    <w:rsid w:val="00C87682"/>
  </w:style>
  <w:style w:type="paragraph" w:styleId="Heading4">
    <w:name w:val="heading 4"/>
    <w:basedOn w:val="No-numheading4Agency"/>
    <w:next w:val="BodytextAgency"/>
    <w:qFormat/>
    <w:rsid w:val="00C87682"/>
  </w:style>
  <w:style w:type="paragraph" w:styleId="Heading5">
    <w:name w:val="heading 5"/>
    <w:basedOn w:val="Normal"/>
    <w:next w:val="Normal"/>
    <w:qFormat/>
    <w:rsid w:val="00C87682"/>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rsid w:val="00C87682"/>
  </w:style>
  <w:style w:type="paragraph" w:styleId="Heading7">
    <w:name w:val="heading 7"/>
    <w:basedOn w:val="No-numheading7Agency"/>
    <w:next w:val="BodytextAgency"/>
    <w:qFormat/>
    <w:rsid w:val="00C87682"/>
  </w:style>
  <w:style w:type="paragraph" w:styleId="Heading8">
    <w:name w:val="heading 8"/>
    <w:basedOn w:val="No-numheading8Agency"/>
    <w:next w:val="BodytextAgency"/>
    <w:qFormat/>
    <w:rsid w:val="00C87682"/>
  </w:style>
  <w:style w:type="paragraph" w:styleId="Heading9">
    <w:name w:val="heading 9"/>
    <w:basedOn w:val="No-numheading9Agency"/>
    <w:next w:val="BodytextAgency"/>
    <w:qFormat/>
    <w:rsid w:val="00C876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heading1Agency">
    <w:name w:val="No-num heading 1 (Agency)"/>
    <w:basedOn w:val="Normal"/>
    <w:next w:val="BodytextAgency"/>
    <w:rsid w:val="00C87682"/>
    <w:pPr>
      <w:keepNext/>
      <w:spacing w:before="280" w:after="220"/>
      <w:outlineLvl w:val="0"/>
    </w:pPr>
    <w:rPr>
      <w:rFonts w:eastAsia="Verdana" w:cs="Arial"/>
      <w:b/>
      <w:bCs/>
      <w:kern w:val="32"/>
      <w:sz w:val="27"/>
      <w:szCs w:val="27"/>
      <w:lang w:eastAsia="en-GB"/>
    </w:rPr>
  </w:style>
  <w:style w:type="paragraph" w:customStyle="1" w:styleId="BodytextAgency">
    <w:name w:val="Body text (Agency)"/>
    <w:basedOn w:val="Normal"/>
    <w:rsid w:val="00C87682"/>
    <w:pPr>
      <w:spacing w:after="140" w:line="280" w:lineRule="atLeast"/>
    </w:pPr>
    <w:rPr>
      <w:rFonts w:eastAsia="Verdana"/>
      <w:lang w:eastAsia="en-GB"/>
    </w:rPr>
  </w:style>
  <w:style w:type="paragraph" w:customStyle="1" w:styleId="No-numheading2Agency">
    <w:name w:val="No-num heading 2 (Agency)"/>
    <w:basedOn w:val="Normal"/>
    <w:next w:val="BodytextAgency"/>
    <w:rsid w:val="00C87682"/>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rsid w:val="00C87682"/>
    <w:pPr>
      <w:numPr>
        <w:ilvl w:val="0"/>
        <w:numId w:val="0"/>
      </w:numPr>
    </w:pPr>
  </w:style>
  <w:style w:type="paragraph" w:customStyle="1" w:styleId="Heading3Agency">
    <w:name w:val="Heading 3 (Agency)"/>
    <w:basedOn w:val="Normal"/>
    <w:next w:val="BodytextAgency"/>
    <w:rsid w:val="00C87682"/>
    <w:pPr>
      <w:keepNext/>
      <w:numPr>
        <w:ilvl w:val="2"/>
        <w:numId w:val="37"/>
      </w:numPr>
      <w:spacing w:before="280" w:after="220"/>
      <w:outlineLvl w:val="2"/>
    </w:pPr>
    <w:rPr>
      <w:rFonts w:eastAsia="Verdana" w:cs="Arial"/>
      <w:b/>
      <w:bCs/>
      <w:kern w:val="32"/>
      <w:sz w:val="22"/>
      <w:szCs w:val="22"/>
      <w:lang w:eastAsia="en-GB"/>
    </w:rPr>
  </w:style>
  <w:style w:type="paragraph" w:customStyle="1" w:styleId="No-numheading4Agency">
    <w:name w:val="No-num heading 4 (Agency)"/>
    <w:basedOn w:val="Heading4Agency"/>
    <w:next w:val="BodytextAgency"/>
    <w:semiHidden/>
    <w:rsid w:val="00C87682"/>
    <w:pPr>
      <w:numPr>
        <w:ilvl w:val="0"/>
        <w:numId w:val="0"/>
      </w:numPr>
    </w:pPr>
  </w:style>
  <w:style w:type="paragraph" w:customStyle="1" w:styleId="Heading4Agency">
    <w:name w:val="Heading 4 (Agency)"/>
    <w:basedOn w:val="Heading3Agency"/>
    <w:next w:val="BodytextAgency"/>
    <w:semiHidden/>
    <w:rsid w:val="00C87682"/>
    <w:pPr>
      <w:numPr>
        <w:ilvl w:val="3"/>
      </w:numPr>
      <w:outlineLvl w:val="3"/>
    </w:pPr>
    <w:rPr>
      <w:i/>
      <w:sz w:val="18"/>
      <w:szCs w:val="18"/>
    </w:rPr>
  </w:style>
  <w:style w:type="paragraph" w:customStyle="1" w:styleId="No-numheading6Agency">
    <w:name w:val="No-num heading 6 (Agency)"/>
    <w:basedOn w:val="No-numheading5Agency"/>
    <w:next w:val="BodytextAgency"/>
    <w:semiHidden/>
    <w:rsid w:val="00C87682"/>
    <w:pPr>
      <w:outlineLvl w:val="5"/>
    </w:pPr>
  </w:style>
  <w:style w:type="paragraph" w:customStyle="1" w:styleId="No-numheading5Agency">
    <w:name w:val="No-num heading 5 (Agency)"/>
    <w:basedOn w:val="Heading5Agency"/>
    <w:next w:val="BodytextAgency"/>
    <w:semiHidden/>
    <w:rsid w:val="00C87682"/>
    <w:pPr>
      <w:numPr>
        <w:ilvl w:val="0"/>
        <w:numId w:val="0"/>
      </w:numPr>
    </w:pPr>
  </w:style>
  <w:style w:type="paragraph" w:customStyle="1" w:styleId="Heading5Agency">
    <w:name w:val="Heading 5 (Agency)"/>
    <w:basedOn w:val="Heading4Agency"/>
    <w:next w:val="BodytextAgency"/>
    <w:semiHidden/>
    <w:rsid w:val="00C87682"/>
    <w:pPr>
      <w:numPr>
        <w:ilvl w:val="4"/>
      </w:numPr>
      <w:outlineLvl w:val="4"/>
    </w:pPr>
    <w:rPr>
      <w:i w:val="0"/>
    </w:rPr>
  </w:style>
  <w:style w:type="paragraph" w:customStyle="1" w:styleId="No-numheading7Agency">
    <w:name w:val="No-num heading 7 (Agency)"/>
    <w:basedOn w:val="No-numheading6Agency"/>
    <w:next w:val="BodytextAgency"/>
    <w:semiHidden/>
    <w:rsid w:val="00C87682"/>
    <w:pPr>
      <w:outlineLvl w:val="6"/>
    </w:pPr>
  </w:style>
  <w:style w:type="paragraph" w:customStyle="1" w:styleId="No-numheading8Agency">
    <w:name w:val="No-num heading 8 (Agency)"/>
    <w:basedOn w:val="No-numheading7Agency"/>
    <w:next w:val="BodytextAgency"/>
    <w:semiHidden/>
    <w:rsid w:val="00C87682"/>
    <w:pPr>
      <w:outlineLvl w:val="7"/>
    </w:pPr>
  </w:style>
  <w:style w:type="paragraph" w:customStyle="1" w:styleId="No-numheading9Agency">
    <w:name w:val="No-num heading 9 (Agency)"/>
    <w:basedOn w:val="No-numheading8Agency"/>
    <w:next w:val="BodytextAgency"/>
    <w:semiHidden/>
    <w:rsid w:val="00C87682"/>
    <w:pPr>
      <w:outlineLvl w:val="8"/>
    </w:pPr>
  </w:style>
  <w:style w:type="paragraph" w:styleId="Footer">
    <w:name w:val="footer"/>
    <w:basedOn w:val="Normal"/>
    <w:semiHidden/>
    <w:rsid w:val="00C87682"/>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rsid w:val="00C87682"/>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rsid w:val="00C87682"/>
  </w:style>
  <w:style w:type="paragraph" w:customStyle="1" w:styleId="FooterAgency">
    <w:name w:val="Footer (Agency)"/>
    <w:basedOn w:val="Normal"/>
    <w:semiHidden/>
    <w:rsid w:val="00C87682"/>
    <w:rPr>
      <w:rFonts w:eastAsia="Verdana"/>
      <w:color w:val="6D6F71"/>
      <w:sz w:val="14"/>
      <w:szCs w:val="14"/>
      <w:lang w:eastAsia="en-GB"/>
    </w:rPr>
  </w:style>
  <w:style w:type="paragraph" w:customStyle="1" w:styleId="FooterblueAgency">
    <w:name w:val="Footer blue (Agency)"/>
    <w:basedOn w:val="Normal"/>
    <w:semiHidden/>
    <w:rsid w:val="00C87682"/>
    <w:rPr>
      <w:rFonts w:eastAsia="Verdana"/>
      <w:b/>
      <w:color w:val="003399"/>
      <w:sz w:val="13"/>
      <w:szCs w:val="14"/>
      <w:lang w:eastAsia="en-GB"/>
    </w:rPr>
  </w:style>
  <w:style w:type="character" w:customStyle="1" w:styleId="FooterAgencyCharChar">
    <w:name w:val="Footer (Agency) Char Char"/>
    <w:semiHidden/>
    <w:rsid w:val="00C87682"/>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semiHidden/>
    <w:rsid w:val="00C87682"/>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rsid w:val="00C87682"/>
    <w:rPr>
      <w:rFonts w:ascii="Verdana" w:eastAsia="Verdana" w:hAnsi="Verdana" w:cs="Verdana"/>
      <w:color w:val="6D6F71"/>
      <w:sz w:val="14"/>
      <w:szCs w:val="14"/>
      <w:lang w:val="en-GB" w:eastAsia="en-GB" w:bidi="ar-SA"/>
    </w:rPr>
  </w:style>
  <w:style w:type="character" w:customStyle="1" w:styleId="FooterblueAgencyCharChar">
    <w:name w:val="Footer blue (Agency) Char Char"/>
    <w:semiHidden/>
    <w:rsid w:val="00C87682"/>
    <w:rPr>
      <w:rFonts w:ascii="Verdana" w:eastAsia="Verdana" w:hAnsi="Verdana" w:cs="Verdana"/>
      <w:b/>
      <w:color w:val="003399"/>
      <w:sz w:val="13"/>
      <w:szCs w:val="14"/>
      <w:lang w:val="en-GB" w:eastAsia="en-GB" w:bidi="ar-SA"/>
    </w:rPr>
  </w:style>
  <w:style w:type="paragraph" w:styleId="BodyText">
    <w:name w:val="Body Text"/>
    <w:basedOn w:val="Normal"/>
    <w:semiHidden/>
    <w:rsid w:val="00C87682"/>
    <w:pPr>
      <w:spacing w:after="140" w:line="280" w:lineRule="atLeast"/>
    </w:pPr>
  </w:style>
  <w:style w:type="paragraph" w:customStyle="1" w:styleId="DisclaimerAgency">
    <w:name w:val="Disclaimer (Agency)"/>
    <w:basedOn w:val="Normal"/>
    <w:semiHidden/>
    <w:rsid w:val="00C87682"/>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rsid w:val="00C87682"/>
    <w:pPr>
      <w:spacing w:after="640" w:line="360" w:lineRule="atLeast"/>
    </w:pPr>
    <w:rPr>
      <w:rFonts w:eastAsia="Verdana"/>
      <w:sz w:val="24"/>
      <w:szCs w:val="24"/>
      <w:lang w:eastAsia="en-GB"/>
    </w:rPr>
  </w:style>
  <w:style w:type="paragraph" w:customStyle="1" w:styleId="DoctitleAgency">
    <w:name w:val="Doc title (Agency)"/>
    <w:basedOn w:val="Normal"/>
    <w:next w:val="DocsubtitleAgency"/>
    <w:rsid w:val="00C87682"/>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rsid w:val="00C87682"/>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sid w:val="00C87682"/>
    <w:rPr>
      <w:rFonts w:ascii="Verdana" w:hAnsi="Verdana"/>
      <w:vertAlign w:val="superscript"/>
    </w:rPr>
  </w:style>
  <w:style w:type="character" w:customStyle="1" w:styleId="EndnotereferenceAgency">
    <w:name w:val="Endnote reference (Agency)"/>
    <w:semiHidden/>
    <w:rsid w:val="00C87682"/>
    <w:rPr>
      <w:rFonts w:ascii="Verdana" w:hAnsi="Verdana"/>
      <w:vertAlign w:val="superscript"/>
    </w:rPr>
  </w:style>
  <w:style w:type="paragraph" w:styleId="EndnoteText">
    <w:name w:val="endnote text"/>
    <w:basedOn w:val="Normal"/>
    <w:semiHidden/>
    <w:rsid w:val="00C87682"/>
    <w:rPr>
      <w:rFonts w:eastAsia="Verdana"/>
      <w:sz w:val="15"/>
      <w:szCs w:val="15"/>
      <w:lang w:eastAsia="en-GB"/>
    </w:rPr>
  </w:style>
  <w:style w:type="paragraph" w:customStyle="1" w:styleId="EndnotetextAgency">
    <w:name w:val="Endnote text (Agency)"/>
    <w:basedOn w:val="Normal"/>
    <w:semiHidden/>
    <w:rsid w:val="00C87682"/>
    <w:rPr>
      <w:rFonts w:eastAsia="Verdana"/>
      <w:sz w:val="15"/>
      <w:lang w:eastAsia="en-GB"/>
    </w:rPr>
  </w:style>
  <w:style w:type="paragraph" w:customStyle="1" w:styleId="FigureAgency">
    <w:name w:val="Figure (Agency)"/>
    <w:basedOn w:val="Normal"/>
    <w:next w:val="BodytextAgency"/>
    <w:semiHidden/>
    <w:rsid w:val="00C87682"/>
    <w:pPr>
      <w:jc w:val="center"/>
    </w:pPr>
  </w:style>
  <w:style w:type="paragraph" w:customStyle="1" w:styleId="FigureheadingAgency">
    <w:name w:val="Figure heading (Agency)"/>
    <w:basedOn w:val="Normal"/>
    <w:next w:val="FigureAgency"/>
    <w:semiHidden/>
    <w:rsid w:val="00C87682"/>
    <w:pPr>
      <w:keepNext/>
      <w:numPr>
        <w:numId w:val="28"/>
      </w:numPr>
      <w:spacing w:before="240" w:after="120"/>
    </w:pPr>
  </w:style>
  <w:style w:type="character" w:styleId="FootnoteReference">
    <w:name w:val="footnote reference"/>
    <w:semiHidden/>
    <w:rsid w:val="00C87682"/>
    <w:rPr>
      <w:rFonts w:ascii="Verdana" w:hAnsi="Verdana"/>
      <w:vertAlign w:val="superscript"/>
    </w:rPr>
  </w:style>
  <w:style w:type="character" w:customStyle="1" w:styleId="FootnotereferenceAgency">
    <w:name w:val="Footnote reference (Agency)"/>
    <w:semiHidden/>
    <w:rsid w:val="00C87682"/>
    <w:rPr>
      <w:rFonts w:ascii="Verdana" w:hAnsi="Verdana"/>
      <w:color w:val="auto"/>
      <w:vertAlign w:val="superscript"/>
    </w:rPr>
  </w:style>
  <w:style w:type="paragraph" w:styleId="FootnoteText">
    <w:name w:val="footnote text"/>
    <w:basedOn w:val="Normal"/>
    <w:semiHidden/>
    <w:rsid w:val="00C87682"/>
    <w:rPr>
      <w:rFonts w:eastAsia="Verdana"/>
      <w:sz w:val="15"/>
      <w:szCs w:val="20"/>
      <w:lang w:eastAsia="en-GB"/>
    </w:rPr>
  </w:style>
  <w:style w:type="paragraph" w:customStyle="1" w:styleId="FootnotetextAgency">
    <w:name w:val="Footnote text (Agency)"/>
    <w:basedOn w:val="Normal"/>
    <w:semiHidden/>
    <w:rsid w:val="00C87682"/>
    <w:rPr>
      <w:rFonts w:eastAsia="Verdana"/>
      <w:sz w:val="15"/>
      <w:lang w:eastAsia="en-GB"/>
    </w:rPr>
  </w:style>
  <w:style w:type="paragraph" w:customStyle="1" w:styleId="HeaderAgency">
    <w:name w:val="Header (Agency)"/>
    <w:basedOn w:val="Normal"/>
    <w:semiHidden/>
    <w:rsid w:val="00C87682"/>
    <w:rPr>
      <w:rFonts w:eastAsia="Verdana"/>
      <w:lang w:eastAsia="en-GB"/>
    </w:rPr>
  </w:style>
  <w:style w:type="paragraph" w:customStyle="1" w:styleId="Heading1Agency">
    <w:name w:val="Heading 1 (Agency)"/>
    <w:basedOn w:val="Normal"/>
    <w:next w:val="BodytextAgency"/>
    <w:rsid w:val="00C87682"/>
    <w:pPr>
      <w:keepNext/>
      <w:numPr>
        <w:numId w:val="37"/>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rsid w:val="00C87682"/>
    <w:pPr>
      <w:keepNext/>
      <w:numPr>
        <w:ilvl w:val="1"/>
        <w:numId w:val="37"/>
      </w:numPr>
      <w:spacing w:before="280" w:after="220"/>
      <w:outlineLvl w:val="1"/>
    </w:pPr>
    <w:rPr>
      <w:rFonts w:eastAsia="Verdana" w:cs="Arial"/>
      <w:b/>
      <w:bCs/>
      <w:i/>
      <w:kern w:val="32"/>
      <w:sz w:val="22"/>
      <w:szCs w:val="22"/>
      <w:lang w:eastAsia="en-GB"/>
    </w:rPr>
  </w:style>
  <w:style w:type="paragraph" w:customStyle="1" w:styleId="Heading6Agency">
    <w:name w:val="Heading 6 (Agency)"/>
    <w:basedOn w:val="Heading5Agency"/>
    <w:next w:val="BodytextAgency"/>
    <w:semiHidden/>
    <w:rsid w:val="00C87682"/>
    <w:pPr>
      <w:numPr>
        <w:ilvl w:val="5"/>
      </w:numPr>
      <w:outlineLvl w:val="5"/>
    </w:pPr>
  </w:style>
  <w:style w:type="paragraph" w:customStyle="1" w:styleId="Heading7Agency">
    <w:name w:val="Heading 7 (Agency)"/>
    <w:basedOn w:val="Heading6Agency"/>
    <w:next w:val="BodytextAgency"/>
    <w:semiHidden/>
    <w:rsid w:val="00C87682"/>
    <w:pPr>
      <w:numPr>
        <w:ilvl w:val="6"/>
      </w:numPr>
      <w:outlineLvl w:val="6"/>
    </w:pPr>
  </w:style>
  <w:style w:type="paragraph" w:customStyle="1" w:styleId="Heading8Agency">
    <w:name w:val="Heading 8 (Agency)"/>
    <w:basedOn w:val="Heading7Agency"/>
    <w:next w:val="BodytextAgency"/>
    <w:semiHidden/>
    <w:rsid w:val="00C87682"/>
    <w:pPr>
      <w:numPr>
        <w:ilvl w:val="7"/>
      </w:numPr>
      <w:outlineLvl w:val="7"/>
    </w:pPr>
  </w:style>
  <w:style w:type="paragraph" w:customStyle="1" w:styleId="Heading9Agency">
    <w:name w:val="Heading 9 (Agency)"/>
    <w:basedOn w:val="Heading8Agency"/>
    <w:next w:val="BodytextAgency"/>
    <w:semiHidden/>
    <w:rsid w:val="00C87682"/>
    <w:pPr>
      <w:numPr>
        <w:ilvl w:val="8"/>
      </w:numPr>
      <w:outlineLvl w:val="8"/>
    </w:pPr>
  </w:style>
  <w:style w:type="paragraph" w:customStyle="1" w:styleId="NormalAgency">
    <w:name w:val="Normal (Agency)"/>
    <w:rsid w:val="00C87682"/>
    <w:rPr>
      <w:rFonts w:ascii="Verdana" w:eastAsia="Verdana" w:hAnsi="Verdana" w:cs="Verdana"/>
      <w:sz w:val="18"/>
      <w:szCs w:val="18"/>
      <w:lang w:val="en-GB" w:eastAsia="en-GB"/>
    </w:rPr>
  </w:style>
  <w:style w:type="paragraph" w:customStyle="1" w:styleId="No-TOCheadingAgency">
    <w:name w:val="No-TOC heading (Agency)"/>
    <w:basedOn w:val="Normal"/>
    <w:next w:val="Normal"/>
    <w:rsid w:val="00C87682"/>
    <w:pPr>
      <w:keepNext/>
      <w:spacing w:before="280" w:after="220"/>
    </w:pPr>
    <w:rPr>
      <w:rFonts w:eastAsia="Times New Roman" w:cs="Arial"/>
      <w:b/>
      <w:kern w:val="32"/>
      <w:sz w:val="27"/>
      <w:szCs w:val="27"/>
      <w:lang w:eastAsia="en-GB"/>
    </w:rPr>
  </w:style>
  <w:style w:type="paragraph" w:customStyle="1" w:styleId="RefAgency">
    <w:name w:val="Ref. (Agency)"/>
    <w:basedOn w:val="Normal"/>
    <w:semiHidden/>
    <w:rsid w:val="00C87682"/>
    <w:rPr>
      <w:rFonts w:eastAsia="Times New Roman" w:cs="Times New Roman"/>
      <w:sz w:val="17"/>
      <w:lang w:eastAsia="en-GB"/>
    </w:rPr>
  </w:style>
  <w:style w:type="paragraph" w:customStyle="1" w:styleId="TablefirstrowAgency">
    <w:name w:val="Table first row (Agency)"/>
    <w:basedOn w:val="BodytextAgency"/>
    <w:semiHidden/>
    <w:rsid w:val="00C87682"/>
    <w:pPr>
      <w:keepNext/>
    </w:pPr>
    <w:rPr>
      <w:rFonts w:eastAsia="Times New Roman"/>
      <w:b/>
    </w:rPr>
  </w:style>
  <w:style w:type="paragraph" w:customStyle="1" w:styleId="TableheadingAgency">
    <w:name w:val="Table heading (Agency)"/>
    <w:basedOn w:val="Normal"/>
    <w:next w:val="BodytextAgency"/>
    <w:semiHidden/>
    <w:rsid w:val="00C87682"/>
    <w:pPr>
      <w:keepNext/>
      <w:numPr>
        <w:numId w:val="39"/>
      </w:numPr>
      <w:spacing w:before="240" w:after="120"/>
    </w:pPr>
  </w:style>
  <w:style w:type="paragraph" w:customStyle="1" w:styleId="TableheadingrowsAgency">
    <w:name w:val="Table heading rows (Agency)"/>
    <w:basedOn w:val="BodytextAgency"/>
    <w:semiHidden/>
    <w:rsid w:val="00C87682"/>
    <w:pPr>
      <w:keepNext/>
    </w:pPr>
    <w:rPr>
      <w:rFonts w:eastAsia="Times New Roman"/>
      <w:b/>
    </w:rPr>
  </w:style>
  <w:style w:type="paragraph" w:customStyle="1" w:styleId="TabletextrowsAgency">
    <w:name w:val="Table text rows (Agency)"/>
    <w:basedOn w:val="Normal"/>
    <w:rsid w:val="00C87682"/>
    <w:pPr>
      <w:spacing w:line="280" w:lineRule="exact"/>
    </w:pPr>
    <w:rPr>
      <w:rFonts w:eastAsia="Times New Roman"/>
    </w:rPr>
  </w:style>
  <w:style w:type="paragraph" w:customStyle="1" w:styleId="TableFigurenoteAgency">
    <w:name w:val="Table/Figure note (Agency)"/>
    <w:basedOn w:val="BodytextAgency"/>
    <w:next w:val="BodytextAgency"/>
    <w:rsid w:val="00C87682"/>
    <w:pPr>
      <w:spacing w:before="60" w:after="240" w:line="240" w:lineRule="auto"/>
    </w:pPr>
    <w:rPr>
      <w:sz w:val="16"/>
      <w:szCs w:val="16"/>
    </w:rPr>
  </w:style>
  <w:style w:type="paragraph" w:styleId="TOC1">
    <w:name w:val="toc 1"/>
    <w:basedOn w:val="Normal"/>
    <w:next w:val="BodytextAgency"/>
    <w:semiHidden/>
    <w:rsid w:val="00C87682"/>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rsid w:val="00C87682"/>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rsid w:val="00C87682"/>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rsid w:val="00C87682"/>
    <w:pPr>
      <w:tabs>
        <w:tab w:val="right" w:leader="dot" w:pos="9401"/>
      </w:tabs>
      <w:spacing w:after="57" w:line="240" w:lineRule="atLeast"/>
    </w:pPr>
    <w:rPr>
      <w:noProof/>
      <w:sz w:val="20"/>
    </w:rPr>
  </w:style>
  <w:style w:type="paragraph" w:styleId="TOC5">
    <w:name w:val="toc 5"/>
    <w:basedOn w:val="Normal"/>
    <w:next w:val="BodytextAgency"/>
    <w:semiHidden/>
    <w:rsid w:val="00C87682"/>
    <w:pPr>
      <w:tabs>
        <w:tab w:val="right" w:leader="dot" w:pos="9401"/>
      </w:tabs>
      <w:spacing w:after="57" w:line="240" w:lineRule="atLeast"/>
    </w:pPr>
    <w:rPr>
      <w:noProof/>
      <w:sz w:val="20"/>
    </w:rPr>
  </w:style>
  <w:style w:type="paragraph" w:styleId="TOC6">
    <w:name w:val="toc 6"/>
    <w:basedOn w:val="Normal"/>
    <w:next w:val="BodytextAgency"/>
    <w:autoRedefine/>
    <w:semiHidden/>
    <w:rsid w:val="00C87682"/>
    <w:pPr>
      <w:spacing w:after="57" w:line="240" w:lineRule="exact"/>
    </w:pPr>
    <w:rPr>
      <w:rFonts w:eastAsia="Times New Roman"/>
    </w:rPr>
  </w:style>
  <w:style w:type="paragraph" w:styleId="TOC7">
    <w:name w:val="toc 7"/>
    <w:basedOn w:val="Normal"/>
    <w:next w:val="BodytextAgency"/>
    <w:semiHidden/>
    <w:rsid w:val="00C87682"/>
    <w:pPr>
      <w:spacing w:after="57" w:line="240" w:lineRule="exact"/>
    </w:pPr>
    <w:rPr>
      <w:rFonts w:eastAsia="Times New Roman"/>
    </w:rPr>
  </w:style>
  <w:style w:type="paragraph" w:styleId="TOC8">
    <w:name w:val="toc 8"/>
    <w:basedOn w:val="Normal"/>
    <w:next w:val="BodytextAgency"/>
    <w:semiHidden/>
    <w:rsid w:val="00C87682"/>
    <w:pPr>
      <w:spacing w:after="57" w:line="240" w:lineRule="exact"/>
    </w:pPr>
    <w:rPr>
      <w:rFonts w:eastAsia="Times New Roman"/>
    </w:rPr>
  </w:style>
  <w:style w:type="paragraph" w:styleId="TOC9">
    <w:name w:val="toc 9"/>
    <w:basedOn w:val="Normal"/>
    <w:next w:val="BodytextAgency"/>
    <w:semiHidden/>
    <w:rsid w:val="00C87682"/>
    <w:pPr>
      <w:spacing w:after="57" w:line="240" w:lineRule="exact"/>
    </w:pPr>
    <w:rPr>
      <w:rFonts w:eastAsia="Times New Roman"/>
    </w:rPr>
  </w:style>
  <w:style w:type="paragraph" w:styleId="BalloonText">
    <w:name w:val="Balloon Text"/>
    <w:basedOn w:val="Normal"/>
    <w:semiHidden/>
    <w:rsid w:val="00C87682"/>
    <w:rPr>
      <w:rFonts w:ascii="Tahoma" w:hAnsi="Tahoma" w:cs="Tahoma"/>
      <w:sz w:val="16"/>
      <w:szCs w:val="16"/>
    </w:rPr>
  </w:style>
  <w:style w:type="paragraph" w:styleId="BlockText">
    <w:name w:val="Block Text"/>
    <w:basedOn w:val="Normal"/>
    <w:semiHidden/>
    <w:rsid w:val="00C87682"/>
    <w:pPr>
      <w:spacing w:after="120"/>
      <w:ind w:left="1440" w:right="1440"/>
    </w:pPr>
  </w:style>
  <w:style w:type="paragraph" w:styleId="BodyText2">
    <w:name w:val="Body Text 2"/>
    <w:basedOn w:val="Normal"/>
    <w:semiHidden/>
    <w:rsid w:val="00C87682"/>
    <w:pPr>
      <w:spacing w:after="120" w:line="480" w:lineRule="auto"/>
    </w:pPr>
  </w:style>
  <w:style w:type="paragraph" w:styleId="BodyText3">
    <w:name w:val="Body Text 3"/>
    <w:basedOn w:val="Normal"/>
    <w:semiHidden/>
    <w:rsid w:val="00C87682"/>
    <w:pPr>
      <w:spacing w:after="120"/>
    </w:pPr>
    <w:rPr>
      <w:sz w:val="16"/>
      <w:szCs w:val="16"/>
    </w:rPr>
  </w:style>
  <w:style w:type="paragraph" w:styleId="BodyTextFirstIndent">
    <w:name w:val="Body Text First Indent"/>
    <w:basedOn w:val="BodyText"/>
    <w:semiHidden/>
    <w:rsid w:val="00C87682"/>
    <w:pPr>
      <w:spacing w:after="120" w:line="240" w:lineRule="auto"/>
      <w:ind w:firstLine="210"/>
    </w:pPr>
  </w:style>
  <w:style w:type="paragraph" w:styleId="BodyTextIndent">
    <w:name w:val="Body Text Indent"/>
    <w:basedOn w:val="Normal"/>
    <w:semiHidden/>
    <w:rsid w:val="00C87682"/>
    <w:pPr>
      <w:spacing w:after="120"/>
      <w:ind w:left="283"/>
    </w:pPr>
  </w:style>
  <w:style w:type="paragraph" w:styleId="BodyTextFirstIndent2">
    <w:name w:val="Body Text First Indent 2"/>
    <w:basedOn w:val="BodyTextIndent"/>
    <w:semiHidden/>
    <w:rsid w:val="00C87682"/>
    <w:pPr>
      <w:ind w:firstLine="210"/>
    </w:pPr>
  </w:style>
  <w:style w:type="paragraph" w:styleId="BodyTextIndent2">
    <w:name w:val="Body Text Indent 2"/>
    <w:basedOn w:val="Normal"/>
    <w:semiHidden/>
    <w:rsid w:val="00C87682"/>
    <w:pPr>
      <w:spacing w:after="120" w:line="480" w:lineRule="auto"/>
      <w:ind w:left="283"/>
    </w:pPr>
  </w:style>
  <w:style w:type="paragraph" w:styleId="BodyTextIndent3">
    <w:name w:val="Body Text Indent 3"/>
    <w:basedOn w:val="Normal"/>
    <w:semiHidden/>
    <w:rsid w:val="00C87682"/>
    <w:pPr>
      <w:spacing w:after="120"/>
      <w:ind w:left="283"/>
    </w:pPr>
    <w:rPr>
      <w:sz w:val="16"/>
      <w:szCs w:val="16"/>
    </w:rPr>
  </w:style>
  <w:style w:type="paragraph" w:styleId="Caption">
    <w:name w:val="caption"/>
    <w:basedOn w:val="Normal"/>
    <w:next w:val="Normal"/>
    <w:qFormat/>
    <w:rsid w:val="00C87682"/>
    <w:rPr>
      <w:b/>
      <w:bCs/>
      <w:sz w:val="20"/>
      <w:szCs w:val="20"/>
    </w:rPr>
  </w:style>
  <w:style w:type="paragraph" w:styleId="Closing">
    <w:name w:val="Closing"/>
    <w:basedOn w:val="Normal"/>
    <w:semiHidden/>
    <w:rsid w:val="00C87682"/>
    <w:pPr>
      <w:ind w:left="4252"/>
    </w:pPr>
  </w:style>
  <w:style w:type="character" w:styleId="CommentReference">
    <w:name w:val="annotation reference"/>
    <w:semiHidden/>
    <w:rsid w:val="00C87682"/>
    <w:rPr>
      <w:sz w:val="16"/>
      <w:szCs w:val="16"/>
    </w:rPr>
  </w:style>
  <w:style w:type="paragraph" w:styleId="CommentText">
    <w:name w:val="annotation text"/>
    <w:basedOn w:val="Normal"/>
    <w:semiHidden/>
    <w:rsid w:val="00C87682"/>
    <w:rPr>
      <w:sz w:val="20"/>
      <w:szCs w:val="20"/>
    </w:rPr>
  </w:style>
  <w:style w:type="paragraph" w:styleId="CommentSubject">
    <w:name w:val="annotation subject"/>
    <w:basedOn w:val="CommentText"/>
    <w:next w:val="CommentText"/>
    <w:semiHidden/>
    <w:rsid w:val="00C87682"/>
    <w:rPr>
      <w:b/>
      <w:bCs/>
    </w:rPr>
  </w:style>
  <w:style w:type="paragraph" w:styleId="Date">
    <w:name w:val="Date"/>
    <w:basedOn w:val="Normal"/>
    <w:next w:val="Normal"/>
    <w:semiHidden/>
    <w:rsid w:val="00C87682"/>
  </w:style>
  <w:style w:type="paragraph" w:styleId="DocumentMap">
    <w:name w:val="Document Map"/>
    <w:basedOn w:val="Normal"/>
    <w:semiHidden/>
    <w:rsid w:val="00C87682"/>
    <w:pPr>
      <w:shd w:val="clear" w:color="auto" w:fill="000080"/>
    </w:pPr>
    <w:rPr>
      <w:rFonts w:ascii="Tahoma" w:hAnsi="Tahoma" w:cs="Tahoma"/>
      <w:sz w:val="20"/>
      <w:szCs w:val="20"/>
    </w:rPr>
  </w:style>
  <w:style w:type="paragraph" w:styleId="E-mailSignature">
    <w:name w:val="E-mail Signature"/>
    <w:basedOn w:val="Normal"/>
    <w:semiHidden/>
    <w:rsid w:val="00C87682"/>
  </w:style>
  <w:style w:type="character" w:styleId="Emphasis">
    <w:name w:val="Emphasis"/>
    <w:qFormat/>
    <w:rsid w:val="00C87682"/>
    <w:rPr>
      <w:i/>
      <w:iCs/>
    </w:rPr>
  </w:style>
  <w:style w:type="paragraph" w:styleId="EnvelopeAddress">
    <w:name w:val="envelope address"/>
    <w:basedOn w:val="Normal"/>
    <w:semiHidden/>
    <w:rsid w:val="00C87682"/>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C87682"/>
    <w:rPr>
      <w:rFonts w:ascii="Arial" w:hAnsi="Arial" w:cs="Arial"/>
      <w:sz w:val="20"/>
      <w:szCs w:val="20"/>
    </w:rPr>
  </w:style>
  <w:style w:type="character" w:styleId="FollowedHyperlink">
    <w:name w:val="FollowedHyperlink"/>
    <w:semiHidden/>
    <w:rsid w:val="00C87682"/>
    <w:rPr>
      <w:color w:val="800080"/>
      <w:u w:val="single"/>
    </w:rPr>
  </w:style>
  <w:style w:type="character" w:styleId="HTMLAcronym">
    <w:name w:val="HTML Acronym"/>
    <w:basedOn w:val="DefaultParagraphFont"/>
    <w:semiHidden/>
    <w:rsid w:val="00C87682"/>
  </w:style>
  <w:style w:type="paragraph" w:styleId="HTMLAddress">
    <w:name w:val="HTML Address"/>
    <w:basedOn w:val="Normal"/>
    <w:semiHidden/>
    <w:rsid w:val="00C87682"/>
    <w:rPr>
      <w:i/>
      <w:iCs/>
    </w:rPr>
  </w:style>
  <w:style w:type="character" w:styleId="HTMLCite">
    <w:name w:val="HTML Cite"/>
    <w:semiHidden/>
    <w:rsid w:val="00C87682"/>
    <w:rPr>
      <w:i/>
      <w:iCs/>
    </w:rPr>
  </w:style>
  <w:style w:type="character" w:styleId="HTMLCode">
    <w:name w:val="HTML Code"/>
    <w:semiHidden/>
    <w:rsid w:val="00C87682"/>
    <w:rPr>
      <w:rFonts w:ascii="Courier New" w:hAnsi="Courier New" w:cs="Courier New"/>
      <w:sz w:val="20"/>
      <w:szCs w:val="20"/>
    </w:rPr>
  </w:style>
  <w:style w:type="character" w:styleId="HTMLDefinition">
    <w:name w:val="HTML Definition"/>
    <w:semiHidden/>
    <w:rsid w:val="00C87682"/>
    <w:rPr>
      <w:i/>
      <w:iCs/>
    </w:rPr>
  </w:style>
  <w:style w:type="character" w:styleId="HTMLKeyboard">
    <w:name w:val="HTML Keyboard"/>
    <w:semiHidden/>
    <w:rsid w:val="00C87682"/>
    <w:rPr>
      <w:rFonts w:ascii="Courier New" w:hAnsi="Courier New" w:cs="Courier New"/>
      <w:sz w:val="20"/>
      <w:szCs w:val="20"/>
    </w:rPr>
  </w:style>
  <w:style w:type="paragraph" w:styleId="HTMLPreformatted">
    <w:name w:val="HTML Preformatted"/>
    <w:basedOn w:val="Normal"/>
    <w:semiHidden/>
    <w:rsid w:val="00C87682"/>
    <w:rPr>
      <w:rFonts w:ascii="Courier New" w:hAnsi="Courier New" w:cs="Courier New"/>
      <w:sz w:val="20"/>
      <w:szCs w:val="20"/>
    </w:rPr>
  </w:style>
  <w:style w:type="character" w:styleId="HTMLSample">
    <w:name w:val="HTML Sample"/>
    <w:semiHidden/>
    <w:rsid w:val="00C87682"/>
    <w:rPr>
      <w:rFonts w:ascii="Courier New" w:hAnsi="Courier New" w:cs="Courier New"/>
    </w:rPr>
  </w:style>
  <w:style w:type="character" w:styleId="HTMLTypewriter">
    <w:name w:val="HTML Typewriter"/>
    <w:semiHidden/>
    <w:rsid w:val="00C87682"/>
    <w:rPr>
      <w:rFonts w:ascii="Courier New" w:hAnsi="Courier New" w:cs="Courier New"/>
      <w:sz w:val="20"/>
      <w:szCs w:val="20"/>
    </w:rPr>
  </w:style>
  <w:style w:type="character" w:styleId="HTMLVariable">
    <w:name w:val="HTML Variable"/>
    <w:semiHidden/>
    <w:rsid w:val="00C87682"/>
    <w:rPr>
      <w:i/>
      <w:iCs/>
    </w:rPr>
  </w:style>
  <w:style w:type="character" w:styleId="Hyperlink">
    <w:name w:val="Hyperlink"/>
    <w:semiHidden/>
    <w:rsid w:val="00C87682"/>
    <w:rPr>
      <w:color w:val="0000FF"/>
      <w:u w:val="single"/>
    </w:rPr>
  </w:style>
  <w:style w:type="paragraph" w:styleId="Index1">
    <w:name w:val="index 1"/>
    <w:basedOn w:val="Normal"/>
    <w:next w:val="Normal"/>
    <w:semiHidden/>
    <w:rsid w:val="00C87682"/>
    <w:pPr>
      <w:ind w:left="180" w:hanging="180"/>
    </w:pPr>
  </w:style>
  <w:style w:type="paragraph" w:styleId="Index2">
    <w:name w:val="index 2"/>
    <w:basedOn w:val="Normal"/>
    <w:next w:val="Normal"/>
    <w:semiHidden/>
    <w:rsid w:val="00C87682"/>
    <w:pPr>
      <w:ind w:left="360" w:hanging="180"/>
    </w:pPr>
  </w:style>
  <w:style w:type="paragraph" w:styleId="Index3">
    <w:name w:val="index 3"/>
    <w:basedOn w:val="Normal"/>
    <w:next w:val="Normal"/>
    <w:semiHidden/>
    <w:rsid w:val="00C87682"/>
    <w:pPr>
      <w:ind w:left="540" w:hanging="180"/>
    </w:pPr>
  </w:style>
  <w:style w:type="paragraph" w:styleId="Index4">
    <w:name w:val="index 4"/>
    <w:basedOn w:val="Normal"/>
    <w:next w:val="Normal"/>
    <w:semiHidden/>
    <w:rsid w:val="00C87682"/>
    <w:pPr>
      <w:ind w:left="720" w:hanging="180"/>
    </w:pPr>
  </w:style>
  <w:style w:type="paragraph" w:styleId="Index5">
    <w:name w:val="index 5"/>
    <w:basedOn w:val="Normal"/>
    <w:next w:val="Normal"/>
    <w:semiHidden/>
    <w:rsid w:val="00C87682"/>
    <w:pPr>
      <w:ind w:left="900" w:hanging="180"/>
    </w:pPr>
  </w:style>
  <w:style w:type="paragraph" w:styleId="Index6">
    <w:name w:val="index 6"/>
    <w:basedOn w:val="Normal"/>
    <w:next w:val="Normal"/>
    <w:semiHidden/>
    <w:rsid w:val="00C87682"/>
    <w:pPr>
      <w:ind w:left="1080" w:hanging="180"/>
    </w:pPr>
  </w:style>
  <w:style w:type="paragraph" w:styleId="Index7">
    <w:name w:val="index 7"/>
    <w:basedOn w:val="Normal"/>
    <w:next w:val="Normal"/>
    <w:semiHidden/>
    <w:rsid w:val="00C87682"/>
    <w:pPr>
      <w:ind w:left="1260" w:hanging="180"/>
    </w:pPr>
  </w:style>
  <w:style w:type="paragraph" w:styleId="Index8">
    <w:name w:val="index 8"/>
    <w:basedOn w:val="Normal"/>
    <w:next w:val="Normal"/>
    <w:semiHidden/>
    <w:rsid w:val="00C87682"/>
    <w:pPr>
      <w:ind w:left="1440" w:hanging="180"/>
    </w:pPr>
  </w:style>
  <w:style w:type="paragraph" w:styleId="Index9">
    <w:name w:val="index 9"/>
    <w:basedOn w:val="Normal"/>
    <w:next w:val="Normal"/>
    <w:semiHidden/>
    <w:rsid w:val="00C87682"/>
    <w:pPr>
      <w:ind w:left="1620" w:hanging="180"/>
    </w:pPr>
  </w:style>
  <w:style w:type="paragraph" w:styleId="IndexHeading">
    <w:name w:val="index heading"/>
    <w:basedOn w:val="Normal"/>
    <w:next w:val="Index1"/>
    <w:semiHidden/>
    <w:rsid w:val="00C87682"/>
    <w:rPr>
      <w:rFonts w:ascii="Arial" w:hAnsi="Arial" w:cs="Arial"/>
      <w:b/>
      <w:bCs/>
    </w:rPr>
  </w:style>
  <w:style w:type="character" w:styleId="LineNumber">
    <w:name w:val="line number"/>
    <w:basedOn w:val="DefaultParagraphFont"/>
    <w:semiHidden/>
    <w:rsid w:val="00C87682"/>
  </w:style>
  <w:style w:type="paragraph" w:styleId="List">
    <w:name w:val="List"/>
    <w:basedOn w:val="Normal"/>
    <w:semiHidden/>
    <w:rsid w:val="00C87682"/>
    <w:pPr>
      <w:ind w:left="283" w:hanging="283"/>
    </w:pPr>
  </w:style>
  <w:style w:type="paragraph" w:styleId="List2">
    <w:name w:val="List 2"/>
    <w:basedOn w:val="Normal"/>
    <w:semiHidden/>
    <w:rsid w:val="00C87682"/>
    <w:pPr>
      <w:ind w:left="566" w:hanging="283"/>
    </w:pPr>
  </w:style>
  <w:style w:type="paragraph" w:styleId="List3">
    <w:name w:val="List 3"/>
    <w:basedOn w:val="Normal"/>
    <w:semiHidden/>
    <w:rsid w:val="00C87682"/>
    <w:pPr>
      <w:ind w:left="849" w:hanging="283"/>
    </w:pPr>
  </w:style>
  <w:style w:type="paragraph" w:styleId="List4">
    <w:name w:val="List 4"/>
    <w:basedOn w:val="Normal"/>
    <w:semiHidden/>
    <w:rsid w:val="00C87682"/>
    <w:pPr>
      <w:ind w:left="1132" w:hanging="283"/>
    </w:pPr>
  </w:style>
  <w:style w:type="paragraph" w:styleId="List5">
    <w:name w:val="List 5"/>
    <w:basedOn w:val="Normal"/>
    <w:semiHidden/>
    <w:rsid w:val="00C87682"/>
    <w:pPr>
      <w:ind w:left="1415" w:hanging="283"/>
    </w:pPr>
  </w:style>
  <w:style w:type="paragraph" w:styleId="ListBullet">
    <w:name w:val="List Bullet"/>
    <w:basedOn w:val="Normal"/>
    <w:semiHidden/>
    <w:rsid w:val="00C87682"/>
    <w:pPr>
      <w:numPr>
        <w:numId w:val="17"/>
      </w:numPr>
    </w:pPr>
  </w:style>
  <w:style w:type="paragraph" w:styleId="ListBullet2">
    <w:name w:val="List Bullet 2"/>
    <w:basedOn w:val="Normal"/>
    <w:semiHidden/>
    <w:rsid w:val="00C87682"/>
    <w:pPr>
      <w:numPr>
        <w:numId w:val="18"/>
      </w:numPr>
    </w:pPr>
  </w:style>
  <w:style w:type="paragraph" w:styleId="ListBullet3">
    <w:name w:val="List Bullet 3"/>
    <w:basedOn w:val="Normal"/>
    <w:semiHidden/>
    <w:rsid w:val="00C87682"/>
    <w:pPr>
      <w:numPr>
        <w:numId w:val="19"/>
      </w:numPr>
    </w:pPr>
  </w:style>
  <w:style w:type="paragraph" w:styleId="ListBullet4">
    <w:name w:val="List Bullet 4"/>
    <w:basedOn w:val="Normal"/>
    <w:semiHidden/>
    <w:rsid w:val="00C87682"/>
    <w:pPr>
      <w:numPr>
        <w:numId w:val="20"/>
      </w:numPr>
    </w:pPr>
  </w:style>
  <w:style w:type="paragraph" w:styleId="ListBullet5">
    <w:name w:val="List Bullet 5"/>
    <w:basedOn w:val="Normal"/>
    <w:semiHidden/>
    <w:rsid w:val="00C87682"/>
    <w:pPr>
      <w:numPr>
        <w:numId w:val="21"/>
      </w:numPr>
    </w:pPr>
  </w:style>
  <w:style w:type="paragraph" w:styleId="ListContinue">
    <w:name w:val="List Continue"/>
    <w:basedOn w:val="Normal"/>
    <w:semiHidden/>
    <w:rsid w:val="00C87682"/>
    <w:pPr>
      <w:spacing w:after="120"/>
      <w:ind w:left="283"/>
    </w:pPr>
  </w:style>
  <w:style w:type="paragraph" w:styleId="ListContinue2">
    <w:name w:val="List Continue 2"/>
    <w:basedOn w:val="Normal"/>
    <w:semiHidden/>
    <w:rsid w:val="00C87682"/>
    <w:pPr>
      <w:spacing w:after="120"/>
      <w:ind w:left="566"/>
    </w:pPr>
  </w:style>
  <w:style w:type="paragraph" w:styleId="ListContinue3">
    <w:name w:val="List Continue 3"/>
    <w:basedOn w:val="Normal"/>
    <w:semiHidden/>
    <w:rsid w:val="00C87682"/>
    <w:pPr>
      <w:spacing w:after="120"/>
      <w:ind w:left="849"/>
    </w:pPr>
  </w:style>
  <w:style w:type="paragraph" w:styleId="ListContinue4">
    <w:name w:val="List Continue 4"/>
    <w:basedOn w:val="Normal"/>
    <w:semiHidden/>
    <w:rsid w:val="00C87682"/>
    <w:pPr>
      <w:spacing w:after="120"/>
      <w:ind w:left="1132"/>
    </w:pPr>
  </w:style>
  <w:style w:type="paragraph" w:styleId="ListContinue5">
    <w:name w:val="List Continue 5"/>
    <w:basedOn w:val="Normal"/>
    <w:semiHidden/>
    <w:rsid w:val="00C87682"/>
    <w:pPr>
      <w:spacing w:after="120"/>
      <w:ind w:left="1415"/>
    </w:pPr>
  </w:style>
  <w:style w:type="paragraph" w:styleId="ListNumber">
    <w:name w:val="List Number"/>
    <w:basedOn w:val="Normal"/>
    <w:semiHidden/>
    <w:rsid w:val="00C87682"/>
    <w:pPr>
      <w:numPr>
        <w:numId w:val="22"/>
      </w:numPr>
    </w:pPr>
  </w:style>
  <w:style w:type="paragraph" w:styleId="ListNumber2">
    <w:name w:val="List Number 2"/>
    <w:basedOn w:val="Normal"/>
    <w:semiHidden/>
    <w:rsid w:val="00C87682"/>
    <w:pPr>
      <w:numPr>
        <w:numId w:val="23"/>
      </w:numPr>
    </w:pPr>
  </w:style>
  <w:style w:type="paragraph" w:styleId="ListNumber3">
    <w:name w:val="List Number 3"/>
    <w:basedOn w:val="Normal"/>
    <w:semiHidden/>
    <w:rsid w:val="00C87682"/>
    <w:pPr>
      <w:numPr>
        <w:numId w:val="24"/>
      </w:numPr>
    </w:pPr>
  </w:style>
  <w:style w:type="paragraph" w:styleId="ListNumber4">
    <w:name w:val="List Number 4"/>
    <w:basedOn w:val="Normal"/>
    <w:semiHidden/>
    <w:rsid w:val="00C87682"/>
    <w:pPr>
      <w:numPr>
        <w:numId w:val="25"/>
      </w:numPr>
    </w:pPr>
  </w:style>
  <w:style w:type="paragraph" w:styleId="ListNumber5">
    <w:name w:val="List Number 5"/>
    <w:basedOn w:val="Normal"/>
    <w:semiHidden/>
    <w:rsid w:val="00C87682"/>
    <w:pPr>
      <w:numPr>
        <w:numId w:val="26"/>
      </w:numPr>
    </w:pPr>
  </w:style>
  <w:style w:type="paragraph" w:styleId="MacroText">
    <w:name w:val="macro"/>
    <w:semiHidden/>
    <w:rsid w:val="00C8768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zh-CN"/>
    </w:rPr>
  </w:style>
  <w:style w:type="paragraph" w:styleId="MessageHeader">
    <w:name w:val="Message Header"/>
    <w:basedOn w:val="Normal"/>
    <w:semiHidden/>
    <w:rsid w:val="00C876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C87682"/>
    <w:rPr>
      <w:rFonts w:ascii="Times New Roman" w:hAnsi="Times New Roman" w:cs="Times New Roman"/>
      <w:sz w:val="24"/>
      <w:szCs w:val="24"/>
    </w:rPr>
  </w:style>
  <w:style w:type="paragraph" w:styleId="NormalIndent">
    <w:name w:val="Normal Indent"/>
    <w:basedOn w:val="Normal"/>
    <w:semiHidden/>
    <w:rsid w:val="00C87682"/>
    <w:pPr>
      <w:ind w:left="720"/>
    </w:pPr>
  </w:style>
  <w:style w:type="paragraph" w:styleId="NoteHeading">
    <w:name w:val="Note Heading"/>
    <w:basedOn w:val="Normal"/>
    <w:next w:val="Normal"/>
    <w:semiHidden/>
    <w:rsid w:val="00C87682"/>
  </w:style>
  <w:style w:type="paragraph" w:styleId="PlainText">
    <w:name w:val="Plain Text"/>
    <w:basedOn w:val="Normal"/>
    <w:semiHidden/>
    <w:rsid w:val="00C87682"/>
    <w:rPr>
      <w:rFonts w:ascii="Courier New" w:hAnsi="Courier New" w:cs="Courier New"/>
      <w:sz w:val="20"/>
      <w:szCs w:val="20"/>
    </w:rPr>
  </w:style>
  <w:style w:type="paragraph" w:styleId="Salutation">
    <w:name w:val="Salutation"/>
    <w:basedOn w:val="Normal"/>
    <w:next w:val="Normal"/>
    <w:semiHidden/>
    <w:rsid w:val="00C87682"/>
  </w:style>
  <w:style w:type="paragraph" w:styleId="Signature">
    <w:name w:val="Signature"/>
    <w:basedOn w:val="Normal"/>
    <w:semiHidden/>
    <w:rsid w:val="00C87682"/>
    <w:pPr>
      <w:ind w:left="4252"/>
    </w:pPr>
  </w:style>
  <w:style w:type="character" w:styleId="Strong">
    <w:name w:val="Strong"/>
    <w:qFormat/>
    <w:rsid w:val="00C87682"/>
    <w:rPr>
      <w:b/>
      <w:bCs/>
    </w:rPr>
  </w:style>
  <w:style w:type="paragraph" w:styleId="Subtitle">
    <w:name w:val="Subtitle"/>
    <w:basedOn w:val="Normal"/>
    <w:qFormat/>
    <w:rsid w:val="00C87682"/>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C87682"/>
    <w:pPr>
      <w:ind w:left="180" w:hanging="180"/>
    </w:pPr>
  </w:style>
  <w:style w:type="paragraph" w:styleId="TableofFigures">
    <w:name w:val="table of figures"/>
    <w:basedOn w:val="Normal"/>
    <w:next w:val="Normal"/>
    <w:semiHidden/>
    <w:rsid w:val="00C87682"/>
  </w:style>
  <w:style w:type="paragraph" w:styleId="Title">
    <w:name w:val="Title"/>
    <w:basedOn w:val="Normal"/>
    <w:qFormat/>
    <w:rsid w:val="00C87682"/>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C87682"/>
    <w:pPr>
      <w:spacing w:before="120"/>
    </w:pPr>
    <w:rPr>
      <w:rFonts w:ascii="Arial" w:hAnsi="Arial" w:cs="Arial"/>
      <w:b/>
      <w:bCs/>
      <w:sz w:val="24"/>
      <w:szCs w:val="24"/>
    </w:rPr>
  </w:style>
  <w:style w:type="character" w:customStyle="1" w:styleId="DocsubtitleAgencyChar">
    <w:name w:val="Doc subtitle (Agency) Char"/>
    <w:rsid w:val="00C87682"/>
    <w:rPr>
      <w:rFonts w:ascii="Verdana" w:eastAsia="Verdana" w:hAnsi="Verdana" w:cs="Verdana"/>
      <w:sz w:val="24"/>
      <w:szCs w:val="24"/>
      <w:lang w:val="en-GB" w:eastAsia="en-GB" w:bidi="ar-SA"/>
    </w:rPr>
  </w:style>
  <w:style w:type="character" w:customStyle="1" w:styleId="BodytextAgencyChar">
    <w:name w:val="Body text (Agency) Char"/>
    <w:rsid w:val="00C87682"/>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sid w:val="00C87682"/>
    <w:rPr>
      <w:b w:val="0"/>
      <w:i/>
      <w:iCs/>
      <w:color w:val="7BBBB2"/>
    </w:rPr>
  </w:style>
  <w:style w:type="paragraph" w:styleId="ListParagraph">
    <w:name w:val="List Paragraph"/>
    <w:basedOn w:val="Normal"/>
    <w:uiPriority w:val="34"/>
    <w:qFormat/>
    <w:rsid w:val="00571783"/>
    <w:pPr>
      <w:ind w:left="1304"/>
    </w:pPr>
  </w:style>
  <w:style w:type="paragraph" w:customStyle="1" w:styleId="Default">
    <w:name w:val="Default"/>
    <w:rsid w:val="00C24C78"/>
    <w:pPr>
      <w:autoSpaceDE w:val="0"/>
      <w:autoSpaceDN w:val="0"/>
      <w:adjustRightInd w:val="0"/>
    </w:pPr>
    <w:rPr>
      <w:rFonts w:ascii="Verdana" w:hAnsi="Verdana" w:cs="Verdana"/>
      <w:color w:val="000000"/>
      <w:sz w:val="24"/>
      <w:szCs w:val="24"/>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682"/>
    <w:rPr>
      <w:rFonts w:ascii="Verdana" w:hAnsi="Verdana" w:cs="Verdana"/>
      <w:sz w:val="18"/>
      <w:szCs w:val="18"/>
      <w:lang w:val="en-GB" w:eastAsia="zh-CN"/>
    </w:rPr>
  </w:style>
  <w:style w:type="paragraph" w:styleId="Heading1">
    <w:name w:val="heading 1"/>
    <w:basedOn w:val="No-numheading1Agency"/>
    <w:next w:val="BodytextAgency"/>
    <w:qFormat/>
    <w:rsid w:val="00C87682"/>
    <w:rPr>
      <w:noProof/>
    </w:rPr>
  </w:style>
  <w:style w:type="paragraph" w:styleId="Heading2">
    <w:name w:val="heading 2"/>
    <w:basedOn w:val="No-numheading2Agency"/>
    <w:next w:val="BodytextAgency"/>
    <w:qFormat/>
    <w:rsid w:val="00C87682"/>
  </w:style>
  <w:style w:type="paragraph" w:styleId="Heading3">
    <w:name w:val="heading 3"/>
    <w:basedOn w:val="No-numheading3Agency"/>
    <w:next w:val="BodytextAgency"/>
    <w:qFormat/>
    <w:rsid w:val="00C87682"/>
  </w:style>
  <w:style w:type="paragraph" w:styleId="Heading4">
    <w:name w:val="heading 4"/>
    <w:basedOn w:val="No-numheading4Agency"/>
    <w:next w:val="BodytextAgency"/>
    <w:qFormat/>
    <w:rsid w:val="00C87682"/>
  </w:style>
  <w:style w:type="paragraph" w:styleId="Heading5">
    <w:name w:val="heading 5"/>
    <w:basedOn w:val="Normal"/>
    <w:next w:val="Normal"/>
    <w:qFormat/>
    <w:rsid w:val="00C87682"/>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rsid w:val="00C87682"/>
  </w:style>
  <w:style w:type="paragraph" w:styleId="Heading7">
    <w:name w:val="heading 7"/>
    <w:basedOn w:val="No-numheading7Agency"/>
    <w:next w:val="BodytextAgency"/>
    <w:qFormat/>
    <w:rsid w:val="00C87682"/>
  </w:style>
  <w:style w:type="paragraph" w:styleId="Heading8">
    <w:name w:val="heading 8"/>
    <w:basedOn w:val="No-numheading8Agency"/>
    <w:next w:val="BodytextAgency"/>
    <w:qFormat/>
    <w:rsid w:val="00C87682"/>
  </w:style>
  <w:style w:type="paragraph" w:styleId="Heading9">
    <w:name w:val="heading 9"/>
    <w:basedOn w:val="No-numheading9Agency"/>
    <w:next w:val="BodytextAgency"/>
    <w:qFormat/>
    <w:rsid w:val="00C876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heading1Agency">
    <w:name w:val="No-num heading 1 (Agency)"/>
    <w:basedOn w:val="Normal"/>
    <w:next w:val="BodytextAgency"/>
    <w:rsid w:val="00C87682"/>
    <w:pPr>
      <w:keepNext/>
      <w:spacing w:before="280" w:after="220"/>
      <w:outlineLvl w:val="0"/>
    </w:pPr>
    <w:rPr>
      <w:rFonts w:eastAsia="Verdana" w:cs="Arial"/>
      <w:b/>
      <w:bCs/>
      <w:kern w:val="32"/>
      <w:sz w:val="27"/>
      <w:szCs w:val="27"/>
      <w:lang w:eastAsia="en-GB"/>
    </w:rPr>
  </w:style>
  <w:style w:type="paragraph" w:customStyle="1" w:styleId="BodytextAgency">
    <w:name w:val="Body text (Agency)"/>
    <w:basedOn w:val="Normal"/>
    <w:rsid w:val="00C87682"/>
    <w:pPr>
      <w:spacing w:after="140" w:line="280" w:lineRule="atLeast"/>
    </w:pPr>
    <w:rPr>
      <w:rFonts w:eastAsia="Verdana"/>
      <w:lang w:eastAsia="en-GB"/>
    </w:rPr>
  </w:style>
  <w:style w:type="paragraph" w:customStyle="1" w:styleId="No-numheading2Agency">
    <w:name w:val="No-num heading 2 (Agency)"/>
    <w:basedOn w:val="Normal"/>
    <w:next w:val="BodytextAgency"/>
    <w:rsid w:val="00C87682"/>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rsid w:val="00C87682"/>
    <w:pPr>
      <w:numPr>
        <w:ilvl w:val="0"/>
        <w:numId w:val="0"/>
      </w:numPr>
    </w:pPr>
  </w:style>
  <w:style w:type="paragraph" w:customStyle="1" w:styleId="Heading3Agency">
    <w:name w:val="Heading 3 (Agency)"/>
    <w:basedOn w:val="Normal"/>
    <w:next w:val="BodytextAgency"/>
    <w:rsid w:val="00C87682"/>
    <w:pPr>
      <w:keepNext/>
      <w:numPr>
        <w:ilvl w:val="2"/>
        <w:numId w:val="37"/>
      </w:numPr>
      <w:spacing w:before="280" w:after="220"/>
      <w:outlineLvl w:val="2"/>
    </w:pPr>
    <w:rPr>
      <w:rFonts w:eastAsia="Verdana" w:cs="Arial"/>
      <w:b/>
      <w:bCs/>
      <w:kern w:val="32"/>
      <w:sz w:val="22"/>
      <w:szCs w:val="22"/>
      <w:lang w:eastAsia="en-GB"/>
    </w:rPr>
  </w:style>
  <w:style w:type="paragraph" w:customStyle="1" w:styleId="No-numheading4Agency">
    <w:name w:val="No-num heading 4 (Agency)"/>
    <w:basedOn w:val="Heading4Agency"/>
    <w:next w:val="BodytextAgency"/>
    <w:semiHidden/>
    <w:rsid w:val="00C87682"/>
    <w:pPr>
      <w:numPr>
        <w:ilvl w:val="0"/>
        <w:numId w:val="0"/>
      </w:numPr>
    </w:pPr>
  </w:style>
  <w:style w:type="paragraph" w:customStyle="1" w:styleId="Heading4Agency">
    <w:name w:val="Heading 4 (Agency)"/>
    <w:basedOn w:val="Heading3Agency"/>
    <w:next w:val="BodytextAgency"/>
    <w:semiHidden/>
    <w:rsid w:val="00C87682"/>
    <w:pPr>
      <w:numPr>
        <w:ilvl w:val="3"/>
      </w:numPr>
      <w:outlineLvl w:val="3"/>
    </w:pPr>
    <w:rPr>
      <w:i/>
      <w:sz w:val="18"/>
      <w:szCs w:val="18"/>
    </w:rPr>
  </w:style>
  <w:style w:type="paragraph" w:customStyle="1" w:styleId="No-numheading6Agency">
    <w:name w:val="No-num heading 6 (Agency)"/>
    <w:basedOn w:val="No-numheading5Agency"/>
    <w:next w:val="BodytextAgency"/>
    <w:semiHidden/>
    <w:rsid w:val="00C87682"/>
    <w:pPr>
      <w:outlineLvl w:val="5"/>
    </w:pPr>
  </w:style>
  <w:style w:type="paragraph" w:customStyle="1" w:styleId="No-numheading5Agency">
    <w:name w:val="No-num heading 5 (Agency)"/>
    <w:basedOn w:val="Heading5Agency"/>
    <w:next w:val="BodytextAgency"/>
    <w:semiHidden/>
    <w:rsid w:val="00C87682"/>
    <w:pPr>
      <w:numPr>
        <w:ilvl w:val="0"/>
        <w:numId w:val="0"/>
      </w:numPr>
    </w:pPr>
  </w:style>
  <w:style w:type="paragraph" w:customStyle="1" w:styleId="Heading5Agency">
    <w:name w:val="Heading 5 (Agency)"/>
    <w:basedOn w:val="Heading4Agency"/>
    <w:next w:val="BodytextAgency"/>
    <w:semiHidden/>
    <w:rsid w:val="00C87682"/>
    <w:pPr>
      <w:numPr>
        <w:ilvl w:val="4"/>
      </w:numPr>
      <w:outlineLvl w:val="4"/>
    </w:pPr>
    <w:rPr>
      <w:i w:val="0"/>
    </w:rPr>
  </w:style>
  <w:style w:type="paragraph" w:customStyle="1" w:styleId="No-numheading7Agency">
    <w:name w:val="No-num heading 7 (Agency)"/>
    <w:basedOn w:val="No-numheading6Agency"/>
    <w:next w:val="BodytextAgency"/>
    <w:semiHidden/>
    <w:rsid w:val="00C87682"/>
    <w:pPr>
      <w:outlineLvl w:val="6"/>
    </w:pPr>
  </w:style>
  <w:style w:type="paragraph" w:customStyle="1" w:styleId="No-numheading8Agency">
    <w:name w:val="No-num heading 8 (Agency)"/>
    <w:basedOn w:val="No-numheading7Agency"/>
    <w:next w:val="BodytextAgency"/>
    <w:semiHidden/>
    <w:rsid w:val="00C87682"/>
    <w:pPr>
      <w:outlineLvl w:val="7"/>
    </w:pPr>
  </w:style>
  <w:style w:type="paragraph" w:customStyle="1" w:styleId="No-numheading9Agency">
    <w:name w:val="No-num heading 9 (Agency)"/>
    <w:basedOn w:val="No-numheading8Agency"/>
    <w:next w:val="BodytextAgency"/>
    <w:semiHidden/>
    <w:rsid w:val="00C87682"/>
    <w:pPr>
      <w:outlineLvl w:val="8"/>
    </w:pPr>
  </w:style>
  <w:style w:type="paragraph" w:styleId="Footer">
    <w:name w:val="footer"/>
    <w:basedOn w:val="Normal"/>
    <w:semiHidden/>
    <w:rsid w:val="00C87682"/>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rsid w:val="00C87682"/>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rsid w:val="00C87682"/>
  </w:style>
  <w:style w:type="paragraph" w:customStyle="1" w:styleId="FooterAgency">
    <w:name w:val="Footer (Agency)"/>
    <w:basedOn w:val="Normal"/>
    <w:semiHidden/>
    <w:rsid w:val="00C87682"/>
    <w:rPr>
      <w:rFonts w:eastAsia="Verdana"/>
      <w:color w:val="6D6F71"/>
      <w:sz w:val="14"/>
      <w:szCs w:val="14"/>
      <w:lang w:eastAsia="en-GB"/>
    </w:rPr>
  </w:style>
  <w:style w:type="paragraph" w:customStyle="1" w:styleId="FooterblueAgency">
    <w:name w:val="Footer blue (Agency)"/>
    <w:basedOn w:val="Normal"/>
    <w:semiHidden/>
    <w:rsid w:val="00C87682"/>
    <w:rPr>
      <w:rFonts w:eastAsia="Verdana"/>
      <w:b/>
      <w:color w:val="003399"/>
      <w:sz w:val="13"/>
      <w:szCs w:val="14"/>
      <w:lang w:eastAsia="en-GB"/>
    </w:rPr>
  </w:style>
  <w:style w:type="character" w:customStyle="1" w:styleId="FooterAgencyCharChar">
    <w:name w:val="Footer (Agency) Char Char"/>
    <w:semiHidden/>
    <w:rsid w:val="00C87682"/>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semiHidden/>
    <w:rsid w:val="00C87682"/>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rsid w:val="00C87682"/>
    <w:rPr>
      <w:rFonts w:ascii="Verdana" w:eastAsia="Verdana" w:hAnsi="Verdana" w:cs="Verdana"/>
      <w:color w:val="6D6F71"/>
      <w:sz w:val="14"/>
      <w:szCs w:val="14"/>
      <w:lang w:val="en-GB" w:eastAsia="en-GB" w:bidi="ar-SA"/>
    </w:rPr>
  </w:style>
  <w:style w:type="character" w:customStyle="1" w:styleId="FooterblueAgencyCharChar">
    <w:name w:val="Footer blue (Agency) Char Char"/>
    <w:semiHidden/>
    <w:rsid w:val="00C87682"/>
    <w:rPr>
      <w:rFonts w:ascii="Verdana" w:eastAsia="Verdana" w:hAnsi="Verdana" w:cs="Verdana"/>
      <w:b/>
      <w:color w:val="003399"/>
      <w:sz w:val="13"/>
      <w:szCs w:val="14"/>
      <w:lang w:val="en-GB" w:eastAsia="en-GB" w:bidi="ar-SA"/>
    </w:rPr>
  </w:style>
  <w:style w:type="paragraph" w:styleId="BodyText">
    <w:name w:val="Body Text"/>
    <w:basedOn w:val="Normal"/>
    <w:semiHidden/>
    <w:rsid w:val="00C87682"/>
    <w:pPr>
      <w:spacing w:after="140" w:line="280" w:lineRule="atLeast"/>
    </w:pPr>
  </w:style>
  <w:style w:type="paragraph" w:customStyle="1" w:styleId="DisclaimerAgency">
    <w:name w:val="Disclaimer (Agency)"/>
    <w:basedOn w:val="Normal"/>
    <w:semiHidden/>
    <w:rsid w:val="00C87682"/>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rsid w:val="00C87682"/>
    <w:pPr>
      <w:spacing w:after="640" w:line="360" w:lineRule="atLeast"/>
    </w:pPr>
    <w:rPr>
      <w:rFonts w:eastAsia="Verdana"/>
      <w:sz w:val="24"/>
      <w:szCs w:val="24"/>
      <w:lang w:eastAsia="en-GB"/>
    </w:rPr>
  </w:style>
  <w:style w:type="paragraph" w:customStyle="1" w:styleId="DoctitleAgency">
    <w:name w:val="Doc title (Agency)"/>
    <w:basedOn w:val="Normal"/>
    <w:next w:val="DocsubtitleAgency"/>
    <w:rsid w:val="00C87682"/>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rsid w:val="00C87682"/>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sid w:val="00C87682"/>
    <w:rPr>
      <w:rFonts w:ascii="Verdana" w:hAnsi="Verdana"/>
      <w:vertAlign w:val="superscript"/>
    </w:rPr>
  </w:style>
  <w:style w:type="character" w:customStyle="1" w:styleId="EndnotereferenceAgency">
    <w:name w:val="Endnote reference (Agency)"/>
    <w:semiHidden/>
    <w:rsid w:val="00C87682"/>
    <w:rPr>
      <w:rFonts w:ascii="Verdana" w:hAnsi="Verdana"/>
      <w:vertAlign w:val="superscript"/>
    </w:rPr>
  </w:style>
  <w:style w:type="paragraph" w:styleId="EndnoteText">
    <w:name w:val="endnote text"/>
    <w:basedOn w:val="Normal"/>
    <w:semiHidden/>
    <w:rsid w:val="00C87682"/>
    <w:rPr>
      <w:rFonts w:eastAsia="Verdana"/>
      <w:sz w:val="15"/>
      <w:szCs w:val="15"/>
      <w:lang w:eastAsia="en-GB"/>
    </w:rPr>
  </w:style>
  <w:style w:type="paragraph" w:customStyle="1" w:styleId="EndnotetextAgency">
    <w:name w:val="Endnote text (Agency)"/>
    <w:basedOn w:val="Normal"/>
    <w:semiHidden/>
    <w:rsid w:val="00C87682"/>
    <w:rPr>
      <w:rFonts w:eastAsia="Verdana"/>
      <w:sz w:val="15"/>
      <w:lang w:eastAsia="en-GB"/>
    </w:rPr>
  </w:style>
  <w:style w:type="paragraph" w:customStyle="1" w:styleId="FigureAgency">
    <w:name w:val="Figure (Agency)"/>
    <w:basedOn w:val="Normal"/>
    <w:next w:val="BodytextAgency"/>
    <w:semiHidden/>
    <w:rsid w:val="00C87682"/>
    <w:pPr>
      <w:jc w:val="center"/>
    </w:pPr>
  </w:style>
  <w:style w:type="paragraph" w:customStyle="1" w:styleId="FigureheadingAgency">
    <w:name w:val="Figure heading (Agency)"/>
    <w:basedOn w:val="Normal"/>
    <w:next w:val="FigureAgency"/>
    <w:semiHidden/>
    <w:rsid w:val="00C87682"/>
    <w:pPr>
      <w:keepNext/>
      <w:numPr>
        <w:numId w:val="28"/>
      </w:numPr>
      <w:spacing w:before="240" w:after="120"/>
    </w:pPr>
  </w:style>
  <w:style w:type="character" w:styleId="FootnoteReference">
    <w:name w:val="footnote reference"/>
    <w:semiHidden/>
    <w:rsid w:val="00C87682"/>
    <w:rPr>
      <w:rFonts w:ascii="Verdana" w:hAnsi="Verdana"/>
      <w:vertAlign w:val="superscript"/>
    </w:rPr>
  </w:style>
  <w:style w:type="character" w:customStyle="1" w:styleId="FootnotereferenceAgency">
    <w:name w:val="Footnote reference (Agency)"/>
    <w:semiHidden/>
    <w:rsid w:val="00C87682"/>
    <w:rPr>
      <w:rFonts w:ascii="Verdana" w:hAnsi="Verdana"/>
      <w:color w:val="auto"/>
      <w:vertAlign w:val="superscript"/>
    </w:rPr>
  </w:style>
  <w:style w:type="paragraph" w:styleId="FootnoteText">
    <w:name w:val="footnote text"/>
    <w:basedOn w:val="Normal"/>
    <w:semiHidden/>
    <w:rsid w:val="00C87682"/>
    <w:rPr>
      <w:rFonts w:eastAsia="Verdana"/>
      <w:sz w:val="15"/>
      <w:szCs w:val="20"/>
      <w:lang w:eastAsia="en-GB"/>
    </w:rPr>
  </w:style>
  <w:style w:type="paragraph" w:customStyle="1" w:styleId="FootnotetextAgency">
    <w:name w:val="Footnote text (Agency)"/>
    <w:basedOn w:val="Normal"/>
    <w:semiHidden/>
    <w:rsid w:val="00C87682"/>
    <w:rPr>
      <w:rFonts w:eastAsia="Verdana"/>
      <w:sz w:val="15"/>
      <w:lang w:eastAsia="en-GB"/>
    </w:rPr>
  </w:style>
  <w:style w:type="paragraph" w:customStyle="1" w:styleId="HeaderAgency">
    <w:name w:val="Header (Agency)"/>
    <w:basedOn w:val="Normal"/>
    <w:semiHidden/>
    <w:rsid w:val="00C87682"/>
    <w:rPr>
      <w:rFonts w:eastAsia="Verdana"/>
      <w:lang w:eastAsia="en-GB"/>
    </w:rPr>
  </w:style>
  <w:style w:type="paragraph" w:customStyle="1" w:styleId="Heading1Agency">
    <w:name w:val="Heading 1 (Agency)"/>
    <w:basedOn w:val="Normal"/>
    <w:next w:val="BodytextAgency"/>
    <w:rsid w:val="00C87682"/>
    <w:pPr>
      <w:keepNext/>
      <w:numPr>
        <w:numId w:val="37"/>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rsid w:val="00C87682"/>
    <w:pPr>
      <w:keepNext/>
      <w:numPr>
        <w:ilvl w:val="1"/>
        <w:numId w:val="37"/>
      </w:numPr>
      <w:spacing w:before="280" w:after="220"/>
      <w:outlineLvl w:val="1"/>
    </w:pPr>
    <w:rPr>
      <w:rFonts w:eastAsia="Verdana" w:cs="Arial"/>
      <w:b/>
      <w:bCs/>
      <w:i/>
      <w:kern w:val="32"/>
      <w:sz w:val="22"/>
      <w:szCs w:val="22"/>
      <w:lang w:eastAsia="en-GB"/>
    </w:rPr>
  </w:style>
  <w:style w:type="paragraph" w:customStyle="1" w:styleId="Heading6Agency">
    <w:name w:val="Heading 6 (Agency)"/>
    <w:basedOn w:val="Heading5Agency"/>
    <w:next w:val="BodytextAgency"/>
    <w:semiHidden/>
    <w:rsid w:val="00C87682"/>
    <w:pPr>
      <w:numPr>
        <w:ilvl w:val="5"/>
      </w:numPr>
      <w:outlineLvl w:val="5"/>
    </w:pPr>
  </w:style>
  <w:style w:type="paragraph" w:customStyle="1" w:styleId="Heading7Agency">
    <w:name w:val="Heading 7 (Agency)"/>
    <w:basedOn w:val="Heading6Agency"/>
    <w:next w:val="BodytextAgency"/>
    <w:semiHidden/>
    <w:rsid w:val="00C87682"/>
    <w:pPr>
      <w:numPr>
        <w:ilvl w:val="6"/>
      </w:numPr>
      <w:outlineLvl w:val="6"/>
    </w:pPr>
  </w:style>
  <w:style w:type="paragraph" w:customStyle="1" w:styleId="Heading8Agency">
    <w:name w:val="Heading 8 (Agency)"/>
    <w:basedOn w:val="Heading7Agency"/>
    <w:next w:val="BodytextAgency"/>
    <w:semiHidden/>
    <w:rsid w:val="00C87682"/>
    <w:pPr>
      <w:numPr>
        <w:ilvl w:val="7"/>
      </w:numPr>
      <w:outlineLvl w:val="7"/>
    </w:pPr>
  </w:style>
  <w:style w:type="paragraph" w:customStyle="1" w:styleId="Heading9Agency">
    <w:name w:val="Heading 9 (Agency)"/>
    <w:basedOn w:val="Heading8Agency"/>
    <w:next w:val="BodytextAgency"/>
    <w:semiHidden/>
    <w:rsid w:val="00C87682"/>
    <w:pPr>
      <w:numPr>
        <w:ilvl w:val="8"/>
      </w:numPr>
      <w:outlineLvl w:val="8"/>
    </w:pPr>
  </w:style>
  <w:style w:type="paragraph" w:customStyle="1" w:styleId="NormalAgency">
    <w:name w:val="Normal (Agency)"/>
    <w:rsid w:val="00C87682"/>
    <w:rPr>
      <w:rFonts w:ascii="Verdana" w:eastAsia="Verdana" w:hAnsi="Verdana" w:cs="Verdana"/>
      <w:sz w:val="18"/>
      <w:szCs w:val="18"/>
      <w:lang w:val="en-GB" w:eastAsia="en-GB"/>
    </w:rPr>
  </w:style>
  <w:style w:type="paragraph" w:customStyle="1" w:styleId="No-TOCheadingAgency">
    <w:name w:val="No-TOC heading (Agency)"/>
    <w:basedOn w:val="Normal"/>
    <w:next w:val="Normal"/>
    <w:rsid w:val="00C87682"/>
    <w:pPr>
      <w:keepNext/>
      <w:spacing w:before="280" w:after="220"/>
    </w:pPr>
    <w:rPr>
      <w:rFonts w:eastAsia="Times New Roman" w:cs="Arial"/>
      <w:b/>
      <w:kern w:val="32"/>
      <w:sz w:val="27"/>
      <w:szCs w:val="27"/>
      <w:lang w:eastAsia="en-GB"/>
    </w:rPr>
  </w:style>
  <w:style w:type="paragraph" w:customStyle="1" w:styleId="RefAgency">
    <w:name w:val="Ref. (Agency)"/>
    <w:basedOn w:val="Normal"/>
    <w:semiHidden/>
    <w:rsid w:val="00C87682"/>
    <w:rPr>
      <w:rFonts w:eastAsia="Times New Roman" w:cs="Times New Roman"/>
      <w:sz w:val="17"/>
      <w:lang w:eastAsia="en-GB"/>
    </w:rPr>
  </w:style>
  <w:style w:type="paragraph" w:customStyle="1" w:styleId="TablefirstrowAgency">
    <w:name w:val="Table first row (Agency)"/>
    <w:basedOn w:val="BodytextAgency"/>
    <w:semiHidden/>
    <w:rsid w:val="00C87682"/>
    <w:pPr>
      <w:keepNext/>
    </w:pPr>
    <w:rPr>
      <w:rFonts w:eastAsia="Times New Roman"/>
      <w:b/>
    </w:rPr>
  </w:style>
  <w:style w:type="paragraph" w:customStyle="1" w:styleId="TableheadingAgency">
    <w:name w:val="Table heading (Agency)"/>
    <w:basedOn w:val="Normal"/>
    <w:next w:val="BodytextAgency"/>
    <w:semiHidden/>
    <w:rsid w:val="00C87682"/>
    <w:pPr>
      <w:keepNext/>
      <w:numPr>
        <w:numId w:val="39"/>
      </w:numPr>
      <w:spacing w:before="240" w:after="120"/>
    </w:pPr>
  </w:style>
  <w:style w:type="paragraph" w:customStyle="1" w:styleId="TableheadingrowsAgency">
    <w:name w:val="Table heading rows (Agency)"/>
    <w:basedOn w:val="BodytextAgency"/>
    <w:semiHidden/>
    <w:rsid w:val="00C87682"/>
    <w:pPr>
      <w:keepNext/>
    </w:pPr>
    <w:rPr>
      <w:rFonts w:eastAsia="Times New Roman"/>
      <w:b/>
    </w:rPr>
  </w:style>
  <w:style w:type="paragraph" w:customStyle="1" w:styleId="TabletextrowsAgency">
    <w:name w:val="Table text rows (Agency)"/>
    <w:basedOn w:val="Normal"/>
    <w:rsid w:val="00C87682"/>
    <w:pPr>
      <w:spacing w:line="280" w:lineRule="exact"/>
    </w:pPr>
    <w:rPr>
      <w:rFonts w:eastAsia="Times New Roman"/>
    </w:rPr>
  </w:style>
  <w:style w:type="paragraph" w:customStyle="1" w:styleId="TableFigurenoteAgency">
    <w:name w:val="Table/Figure note (Agency)"/>
    <w:basedOn w:val="BodytextAgency"/>
    <w:next w:val="BodytextAgency"/>
    <w:rsid w:val="00C87682"/>
    <w:pPr>
      <w:spacing w:before="60" w:after="240" w:line="240" w:lineRule="auto"/>
    </w:pPr>
    <w:rPr>
      <w:sz w:val="16"/>
      <w:szCs w:val="16"/>
    </w:rPr>
  </w:style>
  <w:style w:type="paragraph" w:styleId="TOC1">
    <w:name w:val="toc 1"/>
    <w:basedOn w:val="Normal"/>
    <w:next w:val="BodytextAgency"/>
    <w:semiHidden/>
    <w:rsid w:val="00C87682"/>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rsid w:val="00C87682"/>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rsid w:val="00C87682"/>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rsid w:val="00C87682"/>
    <w:pPr>
      <w:tabs>
        <w:tab w:val="right" w:leader="dot" w:pos="9401"/>
      </w:tabs>
      <w:spacing w:after="57" w:line="240" w:lineRule="atLeast"/>
    </w:pPr>
    <w:rPr>
      <w:noProof/>
      <w:sz w:val="20"/>
    </w:rPr>
  </w:style>
  <w:style w:type="paragraph" w:styleId="TOC5">
    <w:name w:val="toc 5"/>
    <w:basedOn w:val="Normal"/>
    <w:next w:val="BodytextAgency"/>
    <w:semiHidden/>
    <w:rsid w:val="00C87682"/>
    <w:pPr>
      <w:tabs>
        <w:tab w:val="right" w:leader="dot" w:pos="9401"/>
      </w:tabs>
      <w:spacing w:after="57" w:line="240" w:lineRule="atLeast"/>
    </w:pPr>
    <w:rPr>
      <w:noProof/>
      <w:sz w:val="20"/>
    </w:rPr>
  </w:style>
  <w:style w:type="paragraph" w:styleId="TOC6">
    <w:name w:val="toc 6"/>
    <w:basedOn w:val="Normal"/>
    <w:next w:val="BodytextAgency"/>
    <w:autoRedefine/>
    <w:semiHidden/>
    <w:rsid w:val="00C87682"/>
    <w:pPr>
      <w:spacing w:after="57" w:line="240" w:lineRule="exact"/>
    </w:pPr>
    <w:rPr>
      <w:rFonts w:eastAsia="Times New Roman"/>
    </w:rPr>
  </w:style>
  <w:style w:type="paragraph" w:styleId="TOC7">
    <w:name w:val="toc 7"/>
    <w:basedOn w:val="Normal"/>
    <w:next w:val="BodytextAgency"/>
    <w:semiHidden/>
    <w:rsid w:val="00C87682"/>
    <w:pPr>
      <w:spacing w:after="57" w:line="240" w:lineRule="exact"/>
    </w:pPr>
    <w:rPr>
      <w:rFonts w:eastAsia="Times New Roman"/>
    </w:rPr>
  </w:style>
  <w:style w:type="paragraph" w:styleId="TOC8">
    <w:name w:val="toc 8"/>
    <w:basedOn w:val="Normal"/>
    <w:next w:val="BodytextAgency"/>
    <w:semiHidden/>
    <w:rsid w:val="00C87682"/>
    <w:pPr>
      <w:spacing w:after="57" w:line="240" w:lineRule="exact"/>
    </w:pPr>
    <w:rPr>
      <w:rFonts w:eastAsia="Times New Roman"/>
    </w:rPr>
  </w:style>
  <w:style w:type="paragraph" w:styleId="TOC9">
    <w:name w:val="toc 9"/>
    <w:basedOn w:val="Normal"/>
    <w:next w:val="BodytextAgency"/>
    <w:semiHidden/>
    <w:rsid w:val="00C87682"/>
    <w:pPr>
      <w:spacing w:after="57" w:line="240" w:lineRule="exact"/>
    </w:pPr>
    <w:rPr>
      <w:rFonts w:eastAsia="Times New Roman"/>
    </w:rPr>
  </w:style>
  <w:style w:type="paragraph" w:styleId="BalloonText">
    <w:name w:val="Balloon Text"/>
    <w:basedOn w:val="Normal"/>
    <w:semiHidden/>
    <w:rsid w:val="00C87682"/>
    <w:rPr>
      <w:rFonts w:ascii="Tahoma" w:hAnsi="Tahoma" w:cs="Tahoma"/>
      <w:sz w:val="16"/>
      <w:szCs w:val="16"/>
    </w:rPr>
  </w:style>
  <w:style w:type="paragraph" w:styleId="BlockText">
    <w:name w:val="Block Text"/>
    <w:basedOn w:val="Normal"/>
    <w:semiHidden/>
    <w:rsid w:val="00C87682"/>
    <w:pPr>
      <w:spacing w:after="120"/>
      <w:ind w:left="1440" w:right="1440"/>
    </w:pPr>
  </w:style>
  <w:style w:type="paragraph" w:styleId="BodyText2">
    <w:name w:val="Body Text 2"/>
    <w:basedOn w:val="Normal"/>
    <w:semiHidden/>
    <w:rsid w:val="00C87682"/>
    <w:pPr>
      <w:spacing w:after="120" w:line="480" w:lineRule="auto"/>
    </w:pPr>
  </w:style>
  <w:style w:type="paragraph" w:styleId="BodyText3">
    <w:name w:val="Body Text 3"/>
    <w:basedOn w:val="Normal"/>
    <w:semiHidden/>
    <w:rsid w:val="00C87682"/>
    <w:pPr>
      <w:spacing w:after="120"/>
    </w:pPr>
    <w:rPr>
      <w:sz w:val="16"/>
      <w:szCs w:val="16"/>
    </w:rPr>
  </w:style>
  <w:style w:type="paragraph" w:styleId="BodyTextFirstIndent">
    <w:name w:val="Body Text First Indent"/>
    <w:basedOn w:val="BodyText"/>
    <w:semiHidden/>
    <w:rsid w:val="00C87682"/>
    <w:pPr>
      <w:spacing w:after="120" w:line="240" w:lineRule="auto"/>
      <w:ind w:firstLine="210"/>
    </w:pPr>
  </w:style>
  <w:style w:type="paragraph" w:styleId="BodyTextIndent">
    <w:name w:val="Body Text Indent"/>
    <w:basedOn w:val="Normal"/>
    <w:semiHidden/>
    <w:rsid w:val="00C87682"/>
    <w:pPr>
      <w:spacing w:after="120"/>
      <w:ind w:left="283"/>
    </w:pPr>
  </w:style>
  <w:style w:type="paragraph" w:styleId="BodyTextFirstIndent2">
    <w:name w:val="Body Text First Indent 2"/>
    <w:basedOn w:val="BodyTextIndent"/>
    <w:semiHidden/>
    <w:rsid w:val="00C87682"/>
    <w:pPr>
      <w:ind w:firstLine="210"/>
    </w:pPr>
  </w:style>
  <w:style w:type="paragraph" w:styleId="BodyTextIndent2">
    <w:name w:val="Body Text Indent 2"/>
    <w:basedOn w:val="Normal"/>
    <w:semiHidden/>
    <w:rsid w:val="00C87682"/>
    <w:pPr>
      <w:spacing w:after="120" w:line="480" w:lineRule="auto"/>
      <w:ind w:left="283"/>
    </w:pPr>
  </w:style>
  <w:style w:type="paragraph" w:styleId="BodyTextIndent3">
    <w:name w:val="Body Text Indent 3"/>
    <w:basedOn w:val="Normal"/>
    <w:semiHidden/>
    <w:rsid w:val="00C87682"/>
    <w:pPr>
      <w:spacing w:after="120"/>
      <w:ind w:left="283"/>
    </w:pPr>
    <w:rPr>
      <w:sz w:val="16"/>
      <w:szCs w:val="16"/>
    </w:rPr>
  </w:style>
  <w:style w:type="paragraph" w:styleId="Caption">
    <w:name w:val="caption"/>
    <w:basedOn w:val="Normal"/>
    <w:next w:val="Normal"/>
    <w:qFormat/>
    <w:rsid w:val="00C87682"/>
    <w:rPr>
      <w:b/>
      <w:bCs/>
      <w:sz w:val="20"/>
      <w:szCs w:val="20"/>
    </w:rPr>
  </w:style>
  <w:style w:type="paragraph" w:styleId="Closing">
    <w:name w:val="Closing"/>
    <w:basedOn w:val="Normal"/>
    <w:semiHidden/>
    <w:rsid w:val="00C87682"/>
    <w:pPr>
      <w:ind w:left="4252"/>
    </w:pPr>
  </w:style>
  <w:style w:type="character" w:styleId="CommentReference">
    <w:name w:val="annotation reference"/>
    <w:semiHidden/>
    <w:rsid w:val="00C87682"/>
    <w:rPr>
      <w:sz w:val="16"/>
      <w:szCs w:val="16"/>
    </w:rPr>
  </w:style>
  <w:style w:type="paragraph" w:styleId="CommentText">
    <w:name w:val="annotation text"/>
    <w:basedOn w:val="Normal"/>
    <w:semiHidden/>
    <w:rsid w:val="00C87682"/>
    <w:rPr>
      <w:sz w:val="20"/>
      <w:szCs w:val="20"/>
    </w:rPr>
  </w:style>
  <w:style w:type="paragraph" w:styleId="CommentSubject">
    <w:name w:val="annotation subject"/>
    <w:basedOn w:val="CommentText"/>
    <w:next w:val="CommentText"/>
    <w:semiHidden/>
    <w:rsid w:val="00C87682"/>
    <w:rPr>
      <w:b/>
      <w:bCs/>
    </w:rPr>
  </w:style>
  <w:style w:type="paragraph" w:styleId="Date">
    <w:name w:val="Date"/>
    <w:basedOn w:val="Normal"/>
    <w:next w:val="Normal"/>
    <w:semiHidden/>
    <w:rsid w:val="00C87682"/>
  </w:style>
  <w:style w:type="paragraph" w:styleId="DocumentMap">
    <w:name w:val="Document Map"/>
    <w:basedOn w:val="Normal"/>
    <w:semiHidden/>
    <w:rsid w:val="00C87682"/>
    <w:pPr>
      <w:shd w:val="clear" w:color="auto" w:fill="000080"/>
    </w:pPr>
    <w:rPr>
      <w:rFonts w:ascii="Tahoma" w:hAnsi="Tahoma" w:cs="Tahoma"/>
      <w:sz w:val="20"/>
      <w:szCs w:val="20"/>
    </w:rPr>
  </w:style>
  <w:style w:type="paragraph" w:styleId="E-mailSignature">
    <w:name w:val="E-mail Signature"/>
    <w:basedOn w:val="Normal"/>
    <w:semiHidden/>
    <w:rsid w:val="00C87682"/>
  </w:style>
  <w:style w:type="character" w:styleId="Emphasis">
    <w:name w:val="Emphasis"/>
    <w:qFormat/>
    <w:rsid w:val="00C87682"/>
    <w:rPr>
      <w:i/>
      <w:iCs/>
    </w:rPr>
  </w:style>
  <w:style w:type="paragraph" w:styleId="EnvelopeAddress">
    <w:name w:val="envelope address"/>
    <w:basedOn w:val="Normal"/>
    <w:semiHidden/>
    <w:rsid w:val="00C87682"/>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C87682"/>
    <w:rPr>
      <w:rFonts w:ascii="Arial" w:hAnsi="Arial" w:cs="Arial"/>
      <w:sz w:val="20"/>
      <w:szCs w:val="20"/>
    </w:rPr>
  </w:style>
  <w:style w:type="character" w:styleId="FollowedHyperlink">
    <w:name w:val="FollowedHyperlink"/>
    <w:semiHidden/>
    <w:rsid w:val="00C87682"/>
    <w:rPr>
      <w:color w:val="800080"/>
      <w:u w:val="single"/>
    </w:rPr>
  </w:style>
  <w:style w:type="character" w:styleId="HTMLAcronym">
    <w:name w:val="HTML Acronym"/>
    <w:basedOn w:val="DefaultParagraphFont"/>
    <w:semiHidden/>
    <w:rsid w:val="00C87682"/>
  </w:style>
  <w:style w:type="paragraph" w:styleId="HTMLAddress">
    <w:name w:val="HTML Address"/>
    <w:basedOn w:val="Normal"/>
    <w:semiHidden/>
    <w:rsid w:val="00C87682"/>
    <w:rPr>
      <w:i/>
      <w:iCs/>
    </w:rPr>
  </w:style>
  <w:style w:type="character" w:styleId="HTMLCite">
    <w:name w:val="HTML Cite"/>
    <w:semiHidden/>
    <w:rsid w:val="00C87682"/>
    <w:rPr>
      <w:i/>
      <w:iCs/>
    </w:rPr>
  </w:style>
  <w:style w:type="character" w:styleId="HTMLCode">
    <w:name w:val="HTML Code"/>
    <w:semiHidden/>
    <w:rsid w:val="00C87682"/>
    <w:rPr>
      <w:rFonts w:ascii="Courier New" w:hAnsi="Courier New" w:cs="Courier New"/>
      <w:sz w:val="20"/>
      <w:szCs w:val="20"/>
    </w:rPr>
  </w:style>
  <w:style w:type="character" w:styleId="HTMLDefinition">
    <w:name w:val="HTML Definition"/>
    <w:semiHidden/>
    <w:rsid w:val="00C87682"/>
    <w:rPr>
      <w:i/>
      <w:iCs/>
    </w:rPr>
  </w:style>
  <w:style w:type="character" w:styleId="HTMLKeyboard">
    <w:name w:val="HTML Keyboard"/>
    <w:semiHidden/>
    <w:rsid w:val="00C87682"/>
    <w:rPr>
      <w:rFonts w:ascii="Courier New" w:hAnsi="Courier New" w:cs="Courier New"/>
      <w:sz w:val="20"/>
      <w:szCs w:val="20"/>
    </w:rPr>
  </w:style>
  <w:style w:type="paragraph" w:styleId="HTMLPreformatted">
    <w:name w:val="HTML Preformatted"/>
    <w:basedOn w:val="Normal"/>
    <w:semiHidden/>
    <w:rsid w:val="00C87682"/>
    <w:rPr>
      <w:rFonts w:ascii="Courier New" w:hAnsi="Courier New" w:cs="Courier New"/>
      <w:sz w:val="20"/>
      <w:szCs w:val="20"/>
    </w:rPr>
  </w:style>
  <w:style w:type="character" w:styleId="HTMLSample">
    <w:name w:val="HTML Sample"/>
    <w:semiHidden/>
    <w:rsid w:val="00C87682"/>
    <w:rPr>
      <w:rFonts w:ascii="Courier New" w:hAnsi="Courier New" w:cs="Courier New"/>
    </w:rPr>
  </w:style>
  <w:style w:type="character" w:styleId="HTMLTypewriter">
    <w:name w:val="HTML Typewriter"/>
    <w:semiHidden/>
    <w:rsid w:val="00C87682"/>
    <w:rPr>
      <w:rFonts w:ascii="Courier New" w:hAnsi="Courier New" w:cs="Courier New"/>
      <w:sz w:val="20"/>
      <w:szCs w:val="20"/>
    </w:rPr>
  </w:style>
  <w:style w:type="character" w:styleId="HTMLVariable">
    <w:name w:val="HTML Variable"/>
    <w:semiHidden/>
    <w:rsid w:val="00C87682"/>
    <w:rPr>
      <w:i/>
      <w:iCs/>
    </w:rPr>
  </w:style>
  <w:style w:type="character" w:styleId="Hyperlink">
    <w:name w:val="Hyperlink"/>
    <w:semiHidden/>
    <w:rsid w:val="00C87682"/>
    <w:rPr>
      <w:color w:val="0000FF"/>
      <w:u w:val="single"/>
    </w:rPr>
  </w:style>
  <w:style w:type="paragraph" w:styleId="Index1">
    <w:name w:val="index 1"/>
    <w:basedOn w:val="Normal"/>
    <w:next w:val="Normal"/>
    <w:semiHidden/>
    <w:rsid w:val="00C87682"/>
    <w:pPr>
      <w:ind w:left="180" w:hanging="180"/>
    </w:pPr>
  </w:style>
  <w:style w:type="paragraph" w:styleId="Index2">
    <w:name w:val="index 2"/>
    <w:basedOn w:val="Normal"/>
    <w:next w:val="Normal"/>
    <w:semiHidden/>
    <w:rsid w:val="00C87682"/>
    <w:pPr>
      <w:ind w:left="360" w:hanging="180"/>
    </w:pPr>
  </w:style>
  <w:style w:type="paragraph" w:styleId="Index3">
    <w:name w:val="index 3"/>
    <w:basedOn w:val="Normal"/>
    <w:next w:val="Normal"/>
    <w:semiHidden/>
    <w:rsid w:val="00C87682"/>
    <w:pPr>
      <w:ind w:left="540" w:hanging="180"/>
    </w:pPr>
  </w:style>
  <w:style w:type="paragraph" w:styleId="Index4">
    <w:name w:val="index 4"/>
    <w:basedOn w:val="Normal"/>
    <w:next w:val="Normal"/>
    <w:semiHidden/>
    <w:rsid w:val="00C87682"/>
    <w:pPr>
      <w:ind w:left="720" w:hanging="180"/>
    </w:pPr>
  </w:style>
  <w:style w:type="paragraph" w:styleId="Index5">
    <w:name w:val="index 5"/>
    <w:basedOn w:val="Normal"/>
    <w:next w:val="Normal"/>
    <w:semiHidden/>
    <w:rsid w:val="00C87682"/>
    <w:pPr>
      <w:ind w:left="900" w:hanging="180"/>
    </w:pPr>
  </w:style>
  <w:style w:type="paragraph" w:styleId="Index6">
    <w:name w:val="index 6"/>
    <w:basedOn w:val="Normal"/>
    <w:next w:val="Normal"/>
    <w:semiHidden/>
    <w:rsid w:val="00C87682"/>
    <w:pPr>
      <w:ind w:left="1080" w:hanging="180"/>
    </w:pPr>
  </w:style>
  <w:style w:type="paragraph" w:styleId="Index7">
    <w:name w:val="index 7"/>
    <w:basedOn w:val="Normal"/>
    <w:next w:val="Normal"/>
    <w:semiHidden/>
    <w:rsid w:val="00C87682"/>
    <w:pPr>
      <w:ind w:left="1260" w:hanging="180"/>
    </w:pPr>
  </w:style>
  <w:style w:type="paragraph" w:styleId="Index8">
    <w:name w:val="index 8"/>
    <w:basedOn w:val="Normal"/>
    <w:next w:val="Normal"/>
    <w:semiHidden/>
    <w:rsid w:val="00C87682"/>
    <w:pPr>
      <w:ind w:left="1440" w:hanging="180"/>
    </w:pPr>
  </w:style>
  <w:style w:type="paragraph" w:styleId="Index9">
    <w:name w:val="index 9"/>
    <w:basedOn w:val="Normal"/>
    <w:next w:val="Normal"/>
    <w:semiHidden/>
    <w:rsid w:val="00C87682"/>
    <w:pPr>
      <w:ind w:left="1620" w:hanging="180"/>
    </w:pPr>
  </w:style>
  <w:style w:type="paragraph" w:styleId="IndexHeading">
    <w:name w:val="index heading"/>
    <w:basedOn w:val="Normal"/>
    <w:next w:val="Index1"/>
    <w:semiHidden/>
    <w:rsid w:val="00C87682"/>
    <w:rPr>
      <w:rFonts w:ascii="Arial" w:hAnsi="Arial" w:cs="Arial"/>
      <w:b/>
      <w:bCs/>
    </w:rPr>
  </w:style>
  <w:style w:type="character" w:styleId="LineNumber">
    <w:name w:val="line number"/>
    <w:basedOn w:val="DefaultParagraphFont"/>
    <w:semiHidden/>
    <w:rsid w:val="00C87682"/>
  </w:style>
  <w:style w:type="paragraph" w:styleId="List">
    <w:name w:val="List"/>
    <w:basedOn w:val="Normal"/>
    <w:semiHidden/>
    <w:rsid w:val="00C87682"/>
    <w:pPr>
      <w:ind w:left="283" w:hanging="283"/>
    </w:pPr>
  </w:style>
  <w:style w:type="paragraph" w:styleId="List2">
    <w:name w:val="List 2"/>
    <w:basedOn w:val="Normal"/>
    <w:semiHidden/>
    <w:rsid w:val="00C87682"/>
    <w:pPr>
      <w:ind w:left="566" w:hanging="283"/>
    </w:pPr>
  </w:style>
  <w:style w:type="paragraph" w:styleId="List3">
    <w:name w:val="List 3"/>
    <w:basedOn w:val="Normal"/>
    <w:semiHidden/>
    <w:rsid w:val="00C87682"/>
    <w:pPr>
      <w:ind w:left="849" w:hanging="283"/>
    </w:pPr>
  </w:style>
  <w:style w:type="paragraph" w:styleId="List4">
    <w:name w:val="List 4"/>
    <w:basedOn w:val="Normal"/>
    <w:semiHidden/>
    <w:rsid w:val="00C87682"/>
    <w:pPr>
      <w:ind w:left="1132" w:hanging="283"/>
    </w:pPr>
  </w:style>
  <w:style w:type="paragraph" w:styleId="List5">
    <w:name w:val="List 5"/>
    <w:basedOn w:val="Normal"/>
    <w:semiHidden/>
    <w:rsid w:val="00C87682"/>
    <w:pPr>
      <w:ind w:left="1415" w:hanging="283"/>
    </w:pPr>
  </w:style>
  <w:style w:type="paragraph" w:styleId="ListBullet">
    <w:name w:val="List Bullet"/>
    <w:basedOn w:val="Normal"/>
    <w:semiHidden/>
    <w:rsid w:val="00C87682"/>
    <w:pPr>
      <w:numPr>
        <w:numId w:val="17"/>
      </w:numPr>
    </w:pPr>
  </w:style>
  <w:style w:type="paragraph" w:styleId="ListBullet2">
    <w:name w:val="List Bullet 2"/>
    <w:basedOn w:val="Normal"/>
    <w:semiHidden/>
    <w:rsid w:val="00C87682"/>
    <w:pPr>
      <w:numPr>
        <w:numId w:val="18"/>
      </w:numPr>
    </w:pPr>
  </w:style>
  <w:style w:type="paragraph" w:styleId="ListBullet3">
    <w:name w:val="List Bullet 3"/>
    <w:basedOn w:val="Normal"/>
    <w:semiHidden/>
    <w:rsid w:val="00C87682"/>
    <w:pPr>
      <w:numPr>
        <w:numId w:val="19"/>
      </w:numPr>
    </w:pPr>
  </w:style>
  <w:style w:type="paragraph" w:styleId="ListBullet4">
    <w:name w:val="List Bullet 4"/>
    <w:basedOn w:val="Normal"/>
    <w:semiHidden/>
    <w:rsid w:val="00C87682"/>
    <w:pPr>
      <w:numPr>
        <w:numId w:val="20"/>
      </w:numPr>
    </w:pPr>
  </w:style>
  <w:style w:type="paragraph" w:styleId="ListBullet5">
    <w:name w:val="List Bullet 5"/>
    <w:basedOn w:val="Normal"/>
    <w:semiHidden/>
    <w:rsid w:val="00C87682"/>
    <w:pPr>
      <w:numPr>
        <w:numId w:val="21"/>
      </w:numPr>
    </w:pPr>
  </w:style>
  <w:style w:type="paragraph" w:styleId="ListContinue">
    <w:name w:val="List Continue"/>
    <w:basedOn w:val="Normal"/>
    <w:semiHidden/>
    <w:rsid w:val="00C87682"/>
    <w:pPr>
      <w:spacing w:after="120"/>
      <w:ind w:left="283"/>
    </w:pPr>
  </w:style>
  <w:style w:type="paragraph" w:styleId="ListContinue2">
    <w:name w:val="List Continue 2"/>
    <w:basedOn w:val="Normal"/>
    <w:semiHidden/>
    <w:rsid w:val="00C87682"/>
    <w:pPr>
      <w:spacing w:after="120"/>
      <w:ind w:left="566"/>
    </w:pPr>
  </w:style>
  <w:style w:type="paragraph" w:styleId="ListContinue3">
    <w:name w:val="List Continue 3"/>
    <w:basedOn w:val="Normal"/>
    <w:semiHidden/>
    <w:rsid w:val="00C87682"/>
    <w:pPr>
      <w:spacing w:after="120"/>
      <w:ind w:left="849"/>
    </w:pPr>
  </w:style>
  <w:style w:type="paragraph" w:styleId="ListContinue4">
    <w:name w:val="List Continue 4"/>
    <w:basedOn w:val="Normal"/>
    <w:semiHidden/>
    <w:rsid w:val="00C87682"/>
    <w:pPr>
      <w:spacing w:after="120"/>
      <w:ind w:left="1132"/>
    </w:pPr>
  </w:style>
  <w:style w:type="paragraph" w:styleId="ListContinue5">
    <w:name w:val="List Continue 5"/>
    <w:basedOn w:val="Normal"/>
    <w:semiHidden/>
    <w:rsid w:val="00C87682"/>
    <w:pPr>
      <w:spacing w:after="120"/>
      <w:ind w:left="1415"/>
    </w:pPr>
  </w:style>
  <w:style w:type="paragraph" w:styleId="ListNumber">
    <w:name w:val="List Number"/>
    <w:basedOn w:val="Normal"/>
    <w:semiHidden/>
    <w:rsid w:val="00C87682"/>
    <w:pPr>
      <w:numPr>
        <w:numId w:val="22"/>
      </w:numPr>
    </w:pPr>
  </w:style>
  <w:style w:type="paragraph" w:styleId="ListNumber2">
    <w:name w:val="List Number 2"/>
    <w:basedOn w:val="Normal"/>
    <w:semiHidden/>
    <w:rsid w:val="00C87682"/>
    <w:pPr>
      <w:numPr>
        <w:numId w:val="23"/>
      </w:numPr>
    </w:pPr>
  </w:style>
  <w:style w:type="paragraph" w:styleId="ListNumber3">
    <w:name w:val="List Number 3"/>
    <w:basedOn w:val="Normal"/>
    <w:semiHidden/>
    <w:rsid w:val="00C87682"/>
    <w:pPr>
      <w:numPr>
        <w:numId w:val="24"/>
      </w:numPr>
    </w:pPr>
  </w:style>
  <w:style w:type="paragraph" w:styleId="ListNumber4">
    <w:name w:val="List Number 4"/>
    <w:basedOn w:val="Normal"/>
    <w:semiHidden/>
    <w:rsid w:val="00C87682"/>
    <w:pPr>
      <w:numPr>
        <w:numId w:val="25"/>
      </w:numPr>
    </w:pPr>
  </w:style>
  <w:style w:type="paragraph" w:styleId="ListNumber5">
    <w:name w:val="List Number 5"/>
    <w:basedOn w:val="Normal"/>
    <w:semiHidden/>
    <w:rsid w:val="00C87682"/>
    <w:pPr>
      <w:numPr>
        <w:numId w:val="26"/>
      </w:numPr>
    </w:pPr>
  </w:style>
  <w:style w:type="paragraph" w:styleId="MacroText">
    <w:name w:val="macro"/>
    <w:semiHidden/>
    <w:rsid w:val="00C8768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zh-CN"/>
    </w:rPr>
  </w:style>
  <w:style w:type="paragraph" w:styleId="MessageHeader">
    <w:name w:val="Message Header"/>
    <w:basedOn w:val="Normal"/>
    <w:semiHidden/>
    <w:rsid w:val="00C876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C87682"/>
    <w:rPr>
      <w:rFonts w:ascii="Times New Roman" w:hAnsi="Times New Roman" w:cs="Times New Roman"/>
      <w:sz w:val="24"/>
      <w:szCs w:val="24"/>
    </w:rPr>
  </w:style>
  <w:style w:type="paragraph" w:styleId="NormalIndent">
    <w:name w:val="Normal Indent"/>
    <w:basedOn w:val="Normal"/>
    <w:semiHidden/>
    <w:rsid w:val="00C87682"/>
    <w:pPr>
      <w:ind w:left="720"/>
    </w:pPr>
  </w:style>
  <w:style w:type="paragraph" w:styleId="NoteHeading">
    <w:name w:val="Note Heading"/>
    <w:basedOn w:val="Normal"/>
    <w:next w:val="Normal"/>
    <w:semiHidden/>
    <w:rsid w:val="00C87682"/>
  </w:style>
  <w:style w:type="paragraph" w:styleId="PlainText">
    <w:name w:val="Plain Text"/>
    <w:basedOn w:val="Normal"/>
    <w:semiHidden/>
    <w:rsid w:val="00C87682"/>
    <w:rPr>
      <w:rFonts w:ascii="Courier New" w:hAnsi="Courier New" w:cs="Courier New"/>
      <w:sz w:val="20"/>
      <w:szCs w:val="20"/>
    </w:rPr>
  </w:style>
  <w:style w:type="paragraph" w:styleId="Salutation">
    <w:name w:val="Salutation"/>
    <w:basedOn w:val="Normal"/>
    <w:next w:val="Normal"/>
    <w:semiHidden/>
    <w:rsid w:val="00C87682"/>
  </w:style>
  <w:style w:type="paragraph" w:styleId="Signature">
    <w:name w:val="Signature"/>
    <w:basedOn w:val="Normal"/>
    <w:semiHidden/>
    <w:rsid w:val="00C87682"/>
    <w:pPr>
      <w:ind w:left="4252"/>
    </w:pPr>
  </w:style>
  <w:style w:type="character" w:styleId="Strong">
    <w:name w:val="Strong"/>
    <w:qFormat/>
    <w:rsid w:val="00C87682"/>
    <w:rPr>
      <w:b/>
      <w:bCs/>
    </w:rPr>
  </w:style>
  <w:style w:type="paragraph" w:styleId="Subtitle">
    <w:name w:val="Subtitle"/>
    <w:basedOn w:val="Normal"/>
    <w:qFormat/>
    <w:rsid w:val="00C87682"/>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C87682"/>
    <w:pPr>
      <w:ind w:left="180" w:hanging="180"/>
    </w:pPr>
  </w:style>
  <w:style w:type="paragraph" w:styleId="TableofFigures">
    <w:name w:val="table of figures"/>
    <w:basedOn w:val="Normal"/>
    <w:next w:val="Normal"/>
    <w:semiHidden/>
    <w:rsid w:val="00C87682"/>
  </w:style>
  <w:style w:type="paragraph" w:styleId="Title">
    <w:name w:val="Title"/>
    <w:basedOn w:val="Normal"/>
    <w:qFormat/>
    <w:rsid w:val="00C87682"/>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C87682"/>
    <w:pPr>
      <w:spacing w:before="120"/>
    </w:pPr>
    <w:rPr>
      <w:rFonts w:ascii="Arial" w:hAnsi="Arial" w:cs="Arial"/>
      <w:b/>
      <w:bCs/>
      <w:sz w:val="24"/>
      <w:szCs w:val="24"/>
    </w:rPr>
  </w:style>
  <w:style w:type="character" w:customStyle="1" w:styleId="DocsubtitleAgencyChar">
    <w:name w:val="Doc subtitle (Agency) Char"/>
    <w:rsid w:val="00C87682"/>
    <w:rPr>
      <w:rFonts w:ascii="Verdana" w:eastAsia="Verdana" w:hAnsi="Verdana" w:cs="Verdana"/>
      <w:sz w:val="24"/>
      <w:szCs w:val="24"/>
      <w:lang w:val="en-GB" w:eastAsia="en-GB" w:bidi="ar-SA"/>
    </w:rPr>
  </w:style>
  <w:style w:type="character" w:customStyle="1" w:styleId="BodytextAgencyChar">
    <w:name w:val="Body text (Agency) Char"/>
    <w:rsid w:val="00C87682"/>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sid w:val="00C87682"/>
    <w:rPr>
      <w:b w:val="0"/>
      <w:i/>
      <w:iCs/>
      <w:color w:val="7BBBB2"/>
    </w:rPr>
  </w:style>
  <w:style w:type="paragraph" w:styleId="ListParagraph">
    <w:name w:val="List Paragraph"/>
    <w:basedOn w:val="Normal"/>
    <w:uiPriority w:val="34"/>
    <w:qFormat/>
    <w:rsid w:val="00571783"/>
    <w:pPr>
      <w:ind w:left="1304"/>
    </w:pPr>
  </w:style>
  <w:style w:type="paragraph" w:customStyle="1" w:styleId="Default">
    <w:name w:val="Default"/>
    <w:rsid w:val="00C24C78"/>
    <w:pPr>
      <w:autoSpaceDE w:val="0"/>
      <w:autoSpaceDN w:val="0"/>
      <w:adjustRightInd w:val="0"/>
    </w:pPr>
    <w:rPr>
      <w:rFonts w:ascii="Verdana" w:hAnsi="Verdana" w:cs="Verdana"/>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sylvie.meillerais@efpia.eu" TargetMode="Externa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Templates\Filenew\WP%20Publ\Submission%20of%20comments%20on%20guideline%20by%20stakehol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7A2491-B193-F745-B097-A69B28A66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\Templates\Filenew\WP Publ\Submission of comments on guideline by stakeholder.dot</Template>
  <TotalTime>0</TotalTime>
  <Pages>12</Pages>
  <Words>2943</Words>
  <Characters>16781</Characters>
  <Application>Microsoft Macintosh Word</Application>
  <DocSecurity>8</DocSecurity>
  <Lines>139</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Form for submission of comments</vt:lpstr>
      <vt:lpstr>Form for submission of comments</vt:lpstr>
    </vt:vector>
  </TitlesOfParts>
  <Company>European Medicines Agency</Company>
  <LinksUpToDate>false</LinksUpToDate>
  <CharactersWithSpaces>19685</CharactersWithSpaces>
  <SharedDoc>false</SharedDoc>
  <HLinks>
    <vt:vector size="6" baseType="variant">
      <vt:variant>
        <vt:i4>5570610</vt:i4>
      </vt:variant>
      <vt:variant>
        <vt:i4>0</vt:i4>
      </vt:variant>
      <vt:variant>
        <vt:i4>0</vt:i4>
      </vt:variant>
      <vt:variant>
        <vt:i4>5</vt:i4>
      </vt:variant>
      <vt:variant>
        <vt:lpwstr>mailto:sylvie.meillerais@efpia.eu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for submission of comments</dc:title>
  <dc:creator>European Medicines Agency</dc:creator>
  <dc:description>Template developed for European Medicines Agency by Fiona Lewis and Vanessa Crookes December 2009</dc:description>
  <cp:lastModifiedBy>Efpia</cp:lastModifiedBy>
  <cp:revision>2</cp:revision>
  <cp:lastPrinted>2010-02-03T20:38:00Z</cp:lastPrinted>
  <dcterms:created xsi:type="dcterms:W3CDTF">2015-10-19T14:17:00Z</dcterms:created>
  <dcterms:modified xsi:type="dcterms:W3CDTF">2015-10-19T14:17:00Z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emea_meeting_flags">
    <vt:lpwstr/>
  </property>
  <property fmtid="{D5CDD505-2E9C-101B-9397-08002B2CF9AE}" pid="3" name="DM_emea_meeting_ref">
    <vt:lpwstr/>
  </property>
  <property fmtid="{D5CDD505-2E9C-101B-9397-08002B2CF9AE}" pid="4" name="DM_emea_meeting_title">
    <vt:lpwstr/>
  </property>
  <property fmtid="{D5CDD505-2E9C-101B-9397-08002B2CF9AE}" pid="5" name="DM_emea_meeting_hyperlink">
    <vt:lpwstr/>
  </property>
  <property fmtid="{D5CDD505-2E9C-101B-9397-08002B2CF9AE}" pid="6" name="DM_emea_meeting_action">
    <vt:lpwstr/>
  </property>
  <property fmtid="{D5CDD505-2E9C-101B-9397-08002B2CF9AE}" pid="7" name="DM_emea_meeting_status">
    <vt:lpwstr/>
  </property>
  <property fmtid="{D5CDD505-2E9C-101B-9397-08002B2CF9AE}" pid="8" name="DM_emea_doc_lang">
    <vt:lpwstr/>
  </property>
  <property fmtid="{D5CDD505-2E9C-101B-9397-08002B2CF9AE}" pid="9" name="DM_emea_sent_date">
    <vt:lpwstr>nulldate</vt:lpwstr>
  </property>
  <property fmtid="{D5CDD505-2E9C-101B-9397-08002B2CF9AE}" pid="10" name="DM_emea_year">
    <vt:lpwstr>2005</vt:lpwstr>
  </property>
  <property fmtid="{D5CDD505-2E9C-101B-9397-08002B2CF9AE}" pid="11" name="DM_emea_legal_date">
    <vt:lpwstr>nulldate</vt:lpwstr>
  </property>
  <property fmtid="{D5CDD505-2E9C-101B-9397-08002B2CF9AE}" pid="12" name="DM_emea_internal_label">
    <vt:lpwstr>EMA</vt:lpwstr>
  </property>
  <property fmtid="{D5CDD505-2E9C-101B-9397-08002B2CF9AE}" pid="13" name="DM_emea_from">
    <vt:lpwstr/>
  </property>
  <property fmtid="{D5CDD505-2E9C-101B-9397-08002B2CF9AE}" pid="14" name="DM_emea_doc_category">
    <vt:lpwstr>Comments</vt:lpwstr>
  </property>
  <property fmtid="{D5CDD505-2E9C-101B-9397-08002B2CF9AE}" pid="15" name="DM_emea_bcc">
    <vt:lpwstr/>
  </property>
  <property fmtid="{D5CDD505-2E9C-101B-9397-08002B2CF9AE}" pid="16" name="DM_emea_to">
    <vt:lpwstr/>
  </property>
  <property fmtid="{D5CDD505-2E9C-101B-9397-08002B2CF9AE}" pid="17" name="DM_emea_revision_label">
    <vt:lpwstr/>
  </property>
  <property fmtid="{D5CDD505-2E9C-101B-9397-08002B2CF9AE}" pid="18" name="DM_emea_resp_body">
    <vt:lpwstr/>
  </property>
  <property fmtid="{D5CDD505-2E9C-101B-9397-08002B2CF9AE}" pid="19" name="DM_emea_received_date">
    <vt:lpwstr>nulldate</vt:lpwstr>
  </property>
  <property fmtid="{D5CDD505-2E9C-101B-9397-08002B2CF9AE}" pid="20" name="DM_emea_doc_number">
    <vt:lpwstr>293958</vt:lpwstr>
  </property>
  <property fmtid="{D5CDD505-2E9C-101B-9397-08002B2CF9AE}" pid="21" name="DM_emea_message_subject">
    <vt:lpwstr/>
  </property>
  <property fmtid="{D5CDD505-2E9C-101B-9397-08002B2CF9AE}" pid="22" name="DM_emea_cc">
    <vt:lpwstr/>
  </property>
  <property fmtid="{D5CDD505-2E9C-101B-9397-08002B2CF9AE}" pid="23" name="DM_Type">
    <vt:lpwstr>emea_document</vt:lpwstr>
  </property>
  <property fmtid="{D5CDD505-2E9C-101B-9397-08002B2CF9AE}" pid="24" name="DM_Modified_Date">
    <vt:lpwstr>02/02/2010 18:25:13</vt:lpwstr>
  </property>
  <property fmtid="{D5CDD505-2E9C-101B-9397-08002B2CF9AE}" pid="25" name="DM_Modifer_Name">
    <vt:lpwstr>Hearfield Neil</vt:lpwstr>
  </property>
  <property fmtid="{D5CDD505-2E9C-101B-9397-08002B2CF9AE}" pid="26" name="DM_Creator_Name">
    <vt:lpwstr>Hearfield Neil</vt:lpwstr>
  </property>
  <property fmtid="{D5CDD505-2E9C-101B-9397-08002B2CF9AE}" pid="27" name="DM_Creation_Date">
    <vt:lpwstr>02/02/2010 18:25:13</vt:lpwstr>
  </property>
  <property fmtid="{D5CDD505-2E9C-101B-9397-08002B2CF9AE}" pid="28" name="DM_Owner">
    <vt:lpwstr>Schumacher Dunja</vt:lpwstr>
  </property>
  <property fmtid="{D5CDD505-2E9C-101B-9397-08002B2CF9AE}" pid="29" name="DM_Name">
    <vt:lpwstr>Submission of comments form</vt:lpwstr>
  </property>
  <property fmtid="{D5CDD505-2E9C-101B-9397-08002B2CF9AE}" pid="30" name="DM_Language">
    <vt:lpwstr/>
  </property>
  <property fmtid="{D5CDD505-2E9C-101B-9397-08002B2CF9AE}" pid="31" name="DM_Title">
    <vt:lpwstr/>
  </property>
  <property fmtid="{D5CDD505-2E9C-101B-9397-08002B2CF9AE}" pid="32" name="DM_Subject">
    <vt:lpwstr>Comments-EMA/293958/2005</vt:lpwstr>
  </property>
  <property fmtid="{D5CDD505-2E9C-101B-9397-08002B2CF9AE}" pid="33" name="DM_Keywords">
    <vt:lpwstr/>
  </property>
  <property fmtid="{D5CDD505-2E9C-101B-9397-08002B2CF9AE}" pid="34" name="DM_Authors">
    <vt:lpwstr/>
  </property>
  <property fmtid="{D5CDD505-2E9C-101B-9397-08002B2CF9AE}" pid="35" name="DM_Status">
    <vt:lpwstr/>
  </property>
  <property fmtid="{D5CDD505-2E9C-101B-9397-08002B2CF9AE}" pid="36" name="DM_version">
    <vt:lpwstr>3.0, CURRENT, Ready for publication</vt:lpwstr>
  </property>
  <property fmtid="{D5CDD505-2E9C-101B-9397-08002B2CF9AE}" pid="37" name="DM_emea_doc_ref_id">
    <vt:lpwstr>EMA/293958/2005</vt:lpwstr>
  </property>
</Properties>
</file>