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DD528" w14:textId="77777777" w:rsidR="005D6621" w:rsidRPr="004D5796" w:rsidRDefault="00C44BB8">
      <w:pPr>
        <w:pStyle w:val="RefAgency"/>
        <w:tabs>
          <w:tab w:val="left" w:pos="1277"/>
        </w:tabs>
      </w:pPr>
      <w:r>
        <w:t>30 June 2015</w:t>
      </w:r>
    </w:p>
    <w:p w14:paraId="7DB709B6" w14:textId="77777777" w:rsidR="005D6621" w:rsidRPr="004D5796" w:rsidRDefault="005D6621">
      <w:pPr>
        <w:pStyle w:val="RefAgency"/>
        <w:tabs>
          <w:tab w:val="left" w:pos="1277"/>
        </w:tabs>
      </w:pPr>
    </w:p>
    <w:p w14:paraId="71FC956F" w14:textId="77777777" w:rsidR="005D6621" w:rsidRPr="004D5796" w:rsidRDefault="005D6621">
      <w:pPr>
        <w:pStyle w:val="RefAgency"/>
        <w:tabs>
          <w:tab w:val="left" w:pos="1277"/>
        </w:tabs>
      </w:pPr>
    </w:p>
    <w:p w14:paraId="01FDA928" w14:textId="77777777" w:rsidR="005D6621" w:rsidRPr="004D5796" w:rsidRDefault="005D6621">
      <w:pPr>
        <w:pStyle w:val="DoctitleAgency"/>
      </w:pPr>
      <w:bookmarkStart w:id="0" w:name="Head"/>
      <w:bookmarkEnd w:id="0"/>
      <w:r w:rsidRPr="004D5796">
        <w:t>Submission of comments on '</w:t>
      </w:r>
      <w:r w:rsidR="007A763C" w:rsidRPr="004D5796">
        <w:t xml:space="preserve">Concept paper on clinical investigation of medicinal products for the treatment of Axial </w:t>
      </w:r>
      <w:proofErr w:type="spellStart"/>
      <w:r w:rsidR="007A763C" w:rsidRPr="004D5796">
        <w:t>Spondyloarthritis</w:t>
      </w:r>
      <w:proofErr w:type="spellEnd"/>
      <w:r w:rsidR="007A763C" w:rsidRPr="004D5796">
        <w:t>’</w:t>
      </w:r>
      <w:r w:rsidR="00A57935" w:rsidRPr="004D5796">
        <w:t xml:space="preserve"> - </w:t>
      </w:r>
      <w:r w:rsidR="001F3855" w:rsidRPr="004D5796">
        <w:rPr>
          <w:szCs w:val="17"/>
        </w:rPr>
        <w:t>EMA/</w:t>
      </w:r>
      <w:r w:rsidR="007A763C" w:rsidRPr="004D5796">
        <w:rPr>
          <w:szCs w:val="17"/>
        </w:rPr>
        <w:t>CHMP/80184/2015</w:t>
      </w:r>
    </w:p>
    <w:p w14:paraId="7B4F114F" w14:textId="77777777" w:rsidR="005D6621" w:rsidRPr="004D5796" w:rsidRDefault="005D6621">
      <w:pPr>
        <w:pStyle w:val="DocsubtitleAgency"/>
      </w:pPr>
    </w:p>
    <w:p w14:paraId="2358033B" w14:textId="77777777" w:rsidR="005D6621" w:rsidRPr="004D5796" w:rsidRDefault="005D6621">
      <w:pPr>
        <w:pStyle w:val="No-TOCheadingAgency"/>
      </w:pPr>
      <w:r w:rsidRPr="004D5796">
        <w:t>Comments from:</w:t>
      </w:r>
      <w:r w:rsidR="006D6099">
        <w:t xml:space="preserve"> </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rsidRPr="004D5796" w14:paraId="2025C766" w14:textId="77777777">
        <w:trPr>
          <w:tblHeader/>
        </w:trPr>
        <w:tc>
          <w:tcPr>
            <w:tcW w:w="5000" w:type="pct"/>
            <w:tcBorders>
              <w:top w:val="nil"/>
              <w:left w:val="nil"/>
              <w:bottom w:val="nil"/>
              <w:right w:val="nil"/>
            </w:tcBorders>
            <w:shd w:val="clear" w:color="auto" w:fill="003399"/>
          </w:tcPr>
          <w:p w14:paraId="0280BED6" w14:textId="77777777" w:rsidR="005D6621" w:rsidRPr="004D5796" w:rsidRDefault="005D6621">
            <w:pPr>
              <w:pStyle w:val="TableheadingrowsAgency"/>
              <w:rPr>
                <w:b w:val="0"/>
              </w:rPr>
            </w:pPr>
            <w:r w:rsidRPr="004D5796">
              <w:rPr>
                <w:b w:val="0"/>
              </w:rPr>
              <w:t>Name of organisation or individual</w:t>
            </w:r>
          </w:p>
        </w:tc>
      </w:tr>
      <w:tr w:rsidR="005D6621" w:rsidRPr="00A9596A" w14:paraId="394A726C" w14:textId="77777777">
        <w:tc>
          <w:tcPr>
            <w:tcW w:w="5000" w:type="pct"/>
            <w:shd w:val="clear" w:color="auto" w:fill="E1E3F2"/>
          </w:tcPr>
          <w:p w14:paraId="645F5B9D" w14:textId="77777777" w:rsidR="005D6621" w:rsidRPr="004D5796" w:rsidRDefault="004A383E" w:rsidP="007A763C">
            <w:pPr>
              <w:pStyle w:val="TabletextrowsAgency"/>
              <w:rPr>
                <w:lang w:val="fr-BE"/>
              </w:rPr>
            </w:pPr>
            <w:r w:rsidRPr="004D5796">
              <w:rPr>
                <w:lang w:val="fr-BE"/>
              </w:rPr>
              <w:t xml:space="preserve">EFPIA </w:t>
            </w:r>
            <w:r w:rsidR="00851CB2" w:rsidRPr="004D5796">
              <w:rPr>
                <w:lang w:val="fr-BE"/>
              </w:rPr>
              <w:t>–</w:t>
            </w:r>
            <w:r w:rsidRPr="004D5796">
              <w:rPr>
                <w:lang w:val="fr-BE"/>
              </w:rPr>
              <w:t xml:space="preserve"> </w:t>
            </w:r>
            <w:r w:rsidR="007A763C" w:rsidRPr="004D5796">
              <w:rPr>
                <w:lang w:val="fr-BE"/>
              </w:rPr>
              <w:t>Sini Eskola (sini</w:t>
            </w:r>
            <w:r w:rsidR="00851CB2" w:rsidRPr="004D5796">
              <w:rPr>
                <w:lang w:val="fr-BE"/>
              </w:rPr>
              <w:t>.</w:t>
            </w:r>
            <w:r w:rsidR="007A763C" w:rsidRPr="004D5796">
              <w:rPr>
                <w:lang w:val="fr-BE"/>
              </w:rPr>
              <w:t>eskola</w:t>
            </w:r>
            <w:r w:rsidR="00297A4B" w:rsidRPr="004D5796">
              <w:rPr>
                <w:lang w:val="fr-BE"/>
              </w:rPr>
              <w:t>@efpia.eu</w:t>
            </w:r>
            <w:r w:rsidR="00B56F10" w:rsidRPr="004D5796">
              <w:rPr>
                <w:lang w:val="fr-BE"/>
              </w:rPr>
              <w:t>)</w:t>
            </w:r>
          </w:p>
        </w:tc>
      </w:tr>
    </w:tbl>
    <w:p w14:paraId="781471A6" w14:textId="77777777" w:rsidR="005D6621" w:rsidRPr="004D5796" w:rsidRDefault="005D6621">
      <w:pPr>
        <w:pStyle w:val="BodytextAgency"/>
        <w:rPr>
          <w:lang w:val="fr-BE"/>
        </w:rPr>
      </w:pPr>
    </w:p>
    <w:p w14:paraId="4358D408" w14:textId="77777777" w:rsidR="005D6621" w:rsidRPr="004D5796" w:rsidRDefault="005D6621">
      <w:pPr>
        <w:pStyle w:val="BodytextAgency"/>
        <w:rPr>
          <w:i/>
        </w:rPr>
      </w:pPr>
      <w:r w:rsidRPr="004D5796">
        <w:rPr>
          <w:i/>
        </w:rPr>
        <w:t>Please note that these comments and the identity of the sender will be published unless a specific justified objection is received.</w:t>
      </w:r>
    </w:p>
    <w:p w14:paraId="41CB11F2" w14:textId="77777777" w:rsidR="005D6621" w:rsidRPr="004D5796" w:rsidRDefault="005D6621">
      <w:pPr>
        <w:pStyle w:val="BodytextAgency"/>
        <w:rPr>
          <w:i/>
        </w:rPr>
      </w:pPr>
      <w:r w:rsidRPr="004D5796">
        <w:rPr>
          <w:i/>
        </w:rPr>
        <w:t>When completed, this form should be sent to the European Medicines Agency electronically, in Word format (not PDF).</w:t>
      </w:r>
    </w:p>
    <w:p w14:paraId="267C3EFE" w14:textId="77777777" w:rsidR="005D6621" w:rsidRPr="004D5796" w:rsidRDefault="005D6621">
      <w:pPr>
        <w:pStyle w:val="BodytextAgency"/>
      </w:pPr>
    </w:p>
    <w:p w14:paraId="07895418" w14:textId="77777777" w:rsidR="005D6621" w:rsidRPr="004D5796" w:rsidRDefault="005D6621">
      <w:pPr>
        <w:pStyle w:val="BodytextAgency"/>
      </w:pPr>
    </w:p>
    <w:p w14:paraId="3A6BCA93" w14:textId="77777777" w:rsidR="005D6621" w:rsidRPr="004D5796" w:rsidRDefault="005D6621">
      <w:pPr>
        <w:pStyle w:val="BodytextAgency"/>
        <w:sectPr w:rsidR="005D6621" w:rsidRPr="004D5796">
          <w:headerReference w:type="default" r:id="rId9"/>
          <w:footerReference w:type="default" r:id="rId10"/>
          <w:headerReference w:type="first" r:id="rId11"/>
          <w:footerReference w:type="first" r:id="rId12"/>
          <w:pgSz w:w="11907" w:h="16839" w:code="9"/>
          <w:pgMar w:top="1418" w:right="1247" w:bottom="1418" w:left="1247" w:header="284" w:footer="680" w:gutter="0"/>
          <w:cols w:space="720"/>
          <w:titlePg/>
          <w:docGrid w:linePitch="326"/>
        </w:sectPr>
      </w:pPr>
      <w:bookmarkStart w:id="1" w:name="_GoBack"/>
      <w:bookmarkEnd w:id="1"/>
    </w:p>
    <w:p w14:paraId="54474989" w14:textId="77777777" w:rsidR="005D6621" w:rsidRPr="004D5796" w:rsidRDefault="005D6621">
      <w:pPr>
        <w:pStyle w:val="Heading1Agency"/>
      </w:pPr>
      <w:r w:rsidRPr="004D5796">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rsidRPr="004D5796" w14:paraId="07700647" w14:textId="77777777">
        <w:trPr>
          <w:tblHeader/>
        </w:trPr>
        <w:tc>
          <w:tcPr>
            <w:tcW w:w="848" w:type="pct"/>
            <w:tcBorders>
              <w:top w:val="nil"/>
              <w:left w:val="nil"/>
              <w:bottom w:val="nil"/>
              <w:right w:val="nil"/>
            </w:tcBorders>
            <w:shd w:val="clear" w:color="auto" w:fill="003399"/>
          </w:tcPr>
          <w:p w14:paraId="4DDCE855" w14:textId="77777777" w:rsidR="005D6621" w:rsidRPr="004D5796" w:rsidRDefault="005D6621">
            <w:pPr>
              <w:pStyle w:val="TableheadingrowsAgency"/>
              <w:rPr>
                <w:b w:val="0"/>
                <w:bCs/>
              </w:rPr>
            </w:pPr>
            <w:r w:rsidRPr="004D5796">
              <w:rPr>
                <w:b w:val="0"/>
                <w:bCs/>
              </w:rPr>
              <w:t>Stakeholder number</w:t>
            </w:r>
          </w:p>
          <w:p w14:paraId="2EC9DD5F" w14:textId="77777777" w:rsidR="005D6621" w:rsidRPr="004D5796" w:rsidRDefault="005D6621">
            <w:pPr>
              <w:pStyle w:val="TableheadingrowsAgency"/>
              <w:rPr>
                <w:b w:val="0"/>
                <w:bCs/>
                <w:i/>
                <w:color w:val="339966"/>
              </w:rPr>
            </w:pPr>
            <w:r w:rsidRPr="004D5796">
              <w:rPr>
                <w:i/>
                <w:color w:val="339966"/>
              </w:rPr>
              <w:t>(To be completed by the Agency)</w:t>
            </w:r>
          </w:p>
        </w:tc>
        <w:tc>
          <w:tcPr>
            <w:tcW w:w="1839" w:type="pct"/>
            <w:tcBorders>
              <w:top w:val="nil"/>
              <w:left w:val="nil"/>
              <w:bottom w:val="nil"/>
              <w:right w:val="nil"/>
            </w:tcBorders>
            <w:shd w:val="clear" w:color="auto" w:fill="003399"/>
          </w:tcPr>
          <w:p w14:paraId="113E4CD9" w14:textId="77777777" w:rsidR="005D6621" w:rsidRPr="004D5796" w:rsidRDefault="005D6621">
            <w:pPr>
              <w:pStyle w:val="TableheadingrowsAgency"/>
              <w:rPr>
                <w:b w:val="0"/>
                <w:bCs/>
              </w:rPr>
            </w:pPr>
            <w:r w:rsidRPr="004D5796">
              <w:rPr>
                <w:b w:val="0"/>
                <w:bCs/>
              </w:rPr>
              <w:t>General comment (if any)</w:t>
            </w:r>
          </w:p>
        </w:tc>
        <w:tc>
          <w:tcPr>
            <w:tcW w:w="2313" w:type="pct"/>
            <w:tcBorders>
              <w:top w:val="nil"/>
              <w:left w:val="nil"/>
              <w:bottom w:val="nil"/>
              <w:right w:val="nil"/>
            </w:tcBorders>
            <w:shd w:val="clear" w:color="auto" w:fill="003399"/>
          </w:tcPr>
          <w:p w14:paraId="1E16D150" w14:textId="77777777" w:rsidR="005D6621" w:rsidRPr="004D5796" w:rsidRDefault="005D6621">
            <w:pPr>
              <w:pStyle w:val="TableheadingrowsAgency"/>
              <w:rPr>
                <w:b w:val="0"/>
                <w:bCs/>
              </w:rPr>
            </w:pPr>
            <w:r w:rsidRPr="004D5796">
              <w:rPr>
                <w:b w:val="0"/>
                <w:bCs/>
              </w:rPr>
              <w:t>Outcome (if applicable)</w:t>
            </w:r>
          </w:p>
          <w:p w14:paraId="6C68B18B" w14:textId="77777777" w:rsidR="005D6621" w:rsidRPr="004D5796" w:rsidRDefault="005D6621">
            <w:pPr>
              <w:pStyle w:val="TableheadingrowsAgency"/>
              <w:rPr>
                <w:b w:val="0"/>
                <w:bCs/>
                <w:i/>
                <w:color w:val="339966"/>
              </w:rPr>
            </w:pPr>
            <w:r w:rsidRPr="004D5796">
              <w:rPr>
                <w:i/>
                <w:color w:val="339966"/>
              </w:rPr>
              <w:t>(To be completed by the Agency)</w:t>
            </w:r>
          </w:p>
        </w:tc>
      </w:tr>
      <w:tr w:rsidR="00EE1544" w:rsidRPr="004D5796" w14:paraId="7C5EA50E" w14:textId="77777777">
        <w:tc>
          <w:tcPr>
            <w:tcW w:w="848" w:type="pct"/>
            <w:shd w:val="clear" w:color="auto" w:fill="E1E3F2"/>
          </w:tcPr>
          <w:p w14:paraId="6FAD911B" w14:textId="77777777" w:rsidR="00EE1544" w:rsidRPr="004D5796" w:rsidRDefault="00EE1544">
            <w:pPr>
              <w:pStyle w:val="TabletextrowsAgency"/>
              <w:rPr>
                <w:b/>
                <w:i/>
              </w:rPr>
            </w:pPr>
          </w:p>
        </w:tc>
        <w:tc>
          <w:tcPr>
            <w:tcW w:w="1839" w:type="pct"/>
            <w:shd w:val="clear" w:color="auto" w:fill="E1E3F2"/>
          </w:tcPr>
          <w:p w14:paraId="70A4A54D" w14:textId="77777777" w:rsidR="00EE1544" w:rsidRPr="004D5796" w:rsidRDefault="00EE1544" w:rsidP="00EE1544">
            <w:pPr>
              <w:pStyle w:val="TabletextrowsAgency"/>
              <w:spacing w:line="240" w:lineRule="auto"/>
              <w:jc w:val="both"/>
            </w:pPr>
            <w:r w:rsidRPr="004D5796">
              <w:t xml:space="preserve">We very much appreciate the EMA/RIWPs efforts in updating the AS guideline and </w:t>
            </w:r>
            <w:r w:rsidR="004A5354" w:rsidRPr="004D5796">
              <w:t>i</w:t>
            </w:r>
            <w:r w:rsidRPr="004D5796">
              <w:t xml:space="preserve">t is agreed that clinical practice has evolved since publication of the 2009 CHMP “Guideline on Clinical Investigation of Medicinal Products for the Treatment of Ankylosing Spondylitis.” Acknowledgement that patients with axial </w:t>
            </w:r>
            <w:proofErr w:type="spellStart"/>
            <w:r w:rsidRPr="004D5796">
              <w:t>spondyloarthriti</w:t>
            </w:r>
            <w:r w:rsidR="00A9596A">
              <w:t>s</w:t>
            </w:r>
            <w:proofErr w:type="spellEnd"/>
            <w:r w:rsidR="00A9596A">
              <w:t xml:space="preserve"> (</w:t>
            </w:r>
            <w:proofErr w:type="spellStart"/>
            <w:r w:rsidR="00A9596A">
              <w:t>axSpA</w:t>
            </w:r>
            <w:proofErr w:type="spellEnd"/>
            <w:r w:rsidR="00A9596A">
              <w:t xml:space="preserve">) who do not fulfil the </w:t>
            </w:r>
            <w:r w:rsidRPr="004D5796">
              <w:t xml:space="preserve">modified New York </w:t>
            </w:r>
            <w:r w:rsidR="00A9596A">
              <w:t>(</w:t>
            </w:r>
            <w:proofErr w:type="spellStart"/>
            <w:r w:rsidR="00A9596A">
              <w:t>mNY</w:t>
            </w:r>
            <w:proofErr w:type="spellEnd"/>
            <w:r w:rsidR="00A9596A">
              <w:t xml:space="preserve">) </w:t>
            </w:r>
            <w:r w:rsidRPr="004D5796">
              <w:t xml:space="preserve">criteria of ankylosing spondylitis (AS) can present with disease </w:t>
            </w:r>
            <w:r w:rsidR="004A086A">
              <w:t>activity</w:t>
            </w:r>
            <w:r w:rsidR="004A086A" w:rsidRPr="004D5796">
              <w:t xml:space="preserve"> </w:t>
            </w:r>
            <w:r w:rsidRPr="004D5796">
              <w:t xml:space="preserve">and </w:t>
            </w:r>
            <w:r w:rsidR="004A086A">
              <w:t>functional impairment s</w:t>
            </w:r>
            <w:r w:rsidRPr="004D5796">
              <w:t>imilar to those observed in patients with AS is an important advancement in patient care and warrants appropriate consideration in the revised CHMP guideline.</w:t>
            </w:r>
          </w:p>
          <w:p w14:paraId="77667BC5" w14:textId="77777777" w:rsidR="00EE1544" w:rsidRPr="004D5796" w:rsidRDefault="00EE1544" w:rsidP="00EE1544">
            <w:pPr>
              <w:pStyle w:val="TabletextrowsAgency"/>
              <w:spacing w:line="240" w:lineRule="auto"/>
              <w:jc w:val="both"/>
            </w:pPr>
          </w:p>
          <w:p w14:paraId="31A73E10" w14:textId="77777777" w:rsidR="00EE1544" w:rsidRPr="004D5796" w:rsidRDefault="00EE1544" w:rsidP="00EE1544">
            <w:pPr>
              <w:pStyle w:val="TabletextrowsAgency"/>
              <w:spacing w:line="240" w:lineRule="auto"/>
              <w:jc w:val="both"/>
            </w:pPr>
            <w:r w:rsidRPr="004D5796">
              <w:t>We consider that the following key topics should be addressed in the future guideline and more details are provided in the specific comments section:</w:t>
            </w:r>
          </w:p>
          <w:p w14:paraId="7804AB46" w14:textId="77777777" w:rsidR="00EE1544" w:rsidRPr="004D5796" w:rsidRDefault="00EE1544" w:rsidP="00EE1544">
            <w:pPr>
              <w:pStyle w:val="TabletextrowsAgency"/>
              <w:spacing w:line="240" w:lineRule="auto"/>
              <w:jc w:val="both"/>
            </w:pPr>
          </w:p>
          <w:p w14:paraId="662B96DC" w14:textId="77777777" w:rsidR="00EE1544" w:rsidRPr="004D5796" w:rsidRDefault="00EE1544" w:rsidP="00EE1544">
            <w:pPr>
              <w:pStyle w:val="TabletextrowsAgency"/>
              <w:numPr>
                <w:ilvl w:val="0"/>
                <w:numId w:val="42"/>
              </w:numPr>
              <w:spacing w:line="240" w:lineRule="auto"/>
              <w:jc w:val="both"/>
              <w:rPr>
                <w:b/>
              </w:rPr>
            </w:pPr>
            <w:r w:rsidRPr="004D5796">
              <w:rPr>
                <w:b/>
              </w:rPr>
              <w:t xml:space="preserve">Classification of </w:t>
            </w:r>
            <w:proofErr w:type="spellStart"/>
            <w:r w:rsidRPr="004D5796">
              <w:rPr>
                <w:b/>
              </w:rPr>
              <w:t>axSpA</w:t>
            </w:r>
            <w:proofErr w:type="spellEnd"/>
          </w:p>
          <w:p w14:paraId="31476EA2" w14:textId="77777777" w:rsidR="00EE1544" w:rsidRPr="004D5796" w:rsidRDefault="00EE1544" w:rsidP="00EE1544">
            <w:pPr>
              <w:pStyle w:val="TabletextrowsAgency"/>
              <w:spacing w:line="240" w:lineRule="auto"/>
              <w:jc w:val="both"/>
            </w:pPr>
            <w:r w:rsidRPr="004D5796">
              <w:t xml:space="preserve">It is appropriate to consider non-radiographic axial </w:t>
            </w:r>
            <w:proofErr w:type="spellStart"/>
            <w:r w:rsidRPr="004D5796">
              <w:t>SpA</w:t>
            </w:r>
            <w:proofErr w:type="spellEnd"/>
            <w:r w:rsidRPr="004D5796">
              <w:t xml:space="preserve"> (nr-</w:t>
            </w:r>
            <w:proofErr w:type="spellStart"/>
            <w:r w:rsidRPr="004D5796">
              <w:t>axSpA</w:t>
            </w:r>
            <w:proofErr w:type="spellEnd"/>
            <w:r w:rsidRPr="004D5796">
              <w:t xml:space="preserve">) and AS (radiographic </w:t>
            </w:r>
            <w:proofErr w:type="spellStart"/>
            <w:r w:rsidRPr="004D5796">
              <w:t>axSpA</w:t>
            </w:r>
            <w:proofErr w:type="spellEnd"/>
            <w:r w:rsidRPr="004D5796">
              <w:t xml:space="preserve">) as part of a common disease </w:t>
            </w:r>
            <w:r w:rsidR="00597348" w:rsidRPr="004D5796">
              <w:t xml:space="preserve">spectrum </w:t>
            </w:r>
            <w:r w:rsidRPr="004D5796">
              <w:t>(</w:t>
            </w:r>
            <w:proofErr w:type="spellStart"/>
            <w:r w:rsidRPr="004D5796">
              <w:t>axSpA</w:t>
            </w:r>
            <w:proofErr w:type="spellEnd"/>
            <w:r w:rsidRPr="004D5796">
              <w:t xml:space="preserve">), rather than </w:t>
            </w:r>
            <w:r w:rsidR="00F73BC8">
              <w:t xml:space="preserve">as </w:t>
            </w:r>
            <w:r w:rsidRPr="004D5796">
              <w:t>2 distinct entities</w:t>
            </w:r>
            <w:r w:rsidR="00A9596A">
              <w:t>,</w:t>
            </w:r>
            <w:r w:rsidR="00597348" w:rsidRPr="004D5796">
              <w:t xml:space="preserve"> </w:t>
            </w:r>
            <w:r w:rsidRPr="004D5796">
              <w:t xml:space="preserve">and clinical investigation guidelines should reflect this situation in terms of potential clinical trial designs, whilst allowing flexibility in development approaches. </w:t>
            </w:r>
          </w:p>
          <w:p w14:paraId="1C6C083B" w14:textId="77777777" w:rsidR="00597348" w:rsidRPr="004D5796" w:rsidRDefault="00597348" w:rsidP="00597348">
            <w:pPr>
              <w:pStyle w:val="TabletextrowsAgency"/>
              <w:spacing w:line="240" w:lineRule="auto"/>
              <w:jc w:val="both"/>
            </w:pPr>
            <w:r w:rsidRPr="004D5796">
              <w:t>Based on considerations of selectively identifying patients fulfilling the ASAS classification criteria who have an inflammatory pathophysiology, recent nr-</w:t>
            </w:r>
            <w:proofErr w:type="spellStart"/>
            <w:r w:rsidRPr="004D5796">
              <w:t>axSpA</w:t>
            </w:r>
            <w:proofErr w:type="spellEnd"/>
            <w:r w:rsidRPr="004D5796">
              <w:t xml:space="preserve"> regulatory approvals in the EU have indicated patients with severe active nr-</w:t>
            </w:r>
            <w:proofErr w:type="spellStart"/>
            <w:r w:rsidRPr="004D5796">
              <w:t>axSpA</w:t>
            </w:r>
            <w:proofErr w:type="spellEnd"/>
            <w:r w:rsidRPr="004D5796">
              <w:t xml:space="preserve"> with objective signs of inflammation by elevated CRP and/or MRI. The revised </w:t>
            </w:r>
            <w:r w:rsidRPr="004D5796">
              <w:lastRenderedPageBreak/>
              <w:t>guideline could acknowledge the potential for evolution of classification guidelines and/or identification of other prognostic biomarkers that may have utility in clinical practice and hence patient selection. The revised guideline should also provide clinical development guidance for a broad population in terms of disease severity.</w:t>
            </w:r>
          </w:p>
          <w:p w14:paraId="77848EEE" w14:textId="77777777" w:rsidR="005719D4" w:rsidRPr="004D5796" w:rsidRDefault="005719D4" w:rsidP="00597348">
            <w:pPr>
              <w:pStyle w:val="TabletextrowsAgency"/>
              <w:spacing w:line="240" w:lineRule="auto"/>
              <w:jc w:val="both"/>
            </w:pPr>
          </w:p>
          <w:p w14:paraId="336C35F3" w14:textId="77777777" w:rsidR="005719D4" w:rsidRPr="004D5796" w:rsidRDefault="005719D4" w:rsidP="005719D4">
            <w:pPr>
              <w:pStyle w:val="TabletextrowsAgency"/>
              <w:numPr>
                <w:ilvl w:val="0"/>
                <w:numId w:val="42"/>
              </w:numPr>
              <w:spacing w:line="240" w:lineRule="auto"/>
              <w:jc w:val="both"/>
              <w:rPr>
                <w:b/>
              </w:rPr>
            </w:pPr>
            <w:r w:rsidRPr="004D5796">
              <w:rPr>
                <w:b/>
              </w:rPr>
              <w:t xml:space="preserve">Epidemiology of </w:t>
            </w:r>
            <w:proofErr w:type="spellStart"/>
            <w:r w:rsidRPr="004D5796">
              <w:rPr>
                <w:b/>
              </w:rPr>
              <w:t>axSpA</w:t>
            </w:r>
            <w:proofErr w:type="spellEnd"/>
          </w:p>
          <w:p w14:paraId="595E7DEC" w14:textId="77777777" w:rsidR="005719D4" w:rsidRPr="004D5796" w:rsidRDefault="005719D4" w:rsidP="005719D4">
            <w:pPr>
              <w:pStyle w:val="TabletextrowsAgency"/>
              <w:spacing w:line="240" w:lineRule="auto"/>
              <w:jc w:val="both"/>
            </w:pPr>
            <w:r w:rsidRPr="004D5796">
              <w:t xml:space="preserve">As this EMA guideline is for clinical investigation for the whole spectrum of axial </w:t>
            </w:r>
            <w:proofErr w:type="spellStart"/>
            <w:r w:rsidRPr="004D5796">
              <w:t>SpA</w:t>
            </w:r>
            <w:proofErr w:type="spellEnd"/>
            <w:r w:rsidRPr="004D5796">
              <w:t>, including nr-</w:t>
            </w:r>
            <w:proofErr w:type="spellStart"/>
            <w:r w:rsidRPr="004D5796">
              <w:t>axSpA</w:t>
            </w:r>
            <w:proofErr w:type="spellEnd"/>
            <w:r w:rsidRPr="004D5796">
              <w:t xml:space="preserve"> and AS, it would be appropriate to include prevalence data for axial </w:t>
            </w:r>
            <w:proofErr w:type="spellStart"/>
            <w:r w:rsidRPr="004D5796">
              <w:t>SpA</w:t>
            </w:r>
            <w:proofErr w:type="spellEnd"/>
            <w:r w:rsidRPr="004D5796">
              <w:t xml:space="preserve"> and also address the evolution towards a gender equilibrium in the prevalence of </w:t>
            </w:r>
            <w:proofErr w:type="spellStart"/>
            <w:r w:rsidRPr="004D5796">
              <w:t>axSpA</w:t>
            </w:r>
            <w:proofErr w:type="spellEnd"/>
            <w:r w:rsidRPr="004D5796">
              <w:t xml:space="preserve"> given improved diagnosis over the years. </w:t>
            </w:r>
          </w:p>
          <w:p w14:paraId="1911ADFD" w14:textId="77777777" w:rsidR="00597348" w:rsidRPr="004D5796" w:rsidRDefault="00597348" w:rsidP="00EE1544">
            <w:pPr>
              <w:pStyle w:val="TabletextrowsAgency"/>
              <w:spacing w:line="240" w:lineRule="auto"/>
              <w:jc w:val="both"/>
            </w:pPr>
          </w:p>
          <w:p w14:paraId="564C81EC" w14:textId="77777777" w:rsidR="00597348" w:rsidRPr="004D5796" w:rsidRDefault="00597348" w:rsidP="00597348">
            <w:pPr>
              <w:pStyle w:val="TabletextrowsAgency"/>
              <w:numPr>
                <w:ilvl w:val="0"/>
                <w:numId w:val="42"/>
              </w:numPr>
              <w:spacing w:line="240" w:lineRule="auto"/>
              <w:jc w:val="both"/>
              <w:rPr>
                <w:b/>
              </w:rPr>
            </w:pPr>
            <w:r w:rsidRPr="004D5796">
              <w:rPr>
                <w:b/>
              </w:rPr>
              <w:t>Treatment goals in terms of prevention of disease progression</w:t>
            </w:r>
          </w:p>
          <w:p w14:paraId="502131B8" w14:textId="77777777" w:rsidR="00597348" w:rsidRPr="004D5796" w:rsidRDefault="00597348" w:rsidP="00597348">
            <w:pPr>
              <w:pStyle w:val="TabletextrowsAgency"/>
              <w:spacing w:line="240" w:lineRule="auto"/>
              <w:jc w:val="both"/>
              <w:rPr>
                <w:rStyle w:val="CommentReference"/>
                <w:rFonts w:eastAsia="SimSun"/>
              </w:rPr>
            </w:pPr>
            <w:r w:rsidRPr="004D5796">
              <w:t xml:space="preserve">Treatment in an early phase of the </w:t>
            </w:r>
            <w:proofErr w:type="spellStart"/>
            <w:r w:rsidRPr="004D5796">
              <w:t>axSpA</w:t>
            </w:r>
            <w:proofErr w:type="spellEnd"/>
            <w:r w:rsidRPr="004D5796">
              <w:t xml:space="preserve"> disease </w:t>
            </w:r>
            <w:r w:rsidR="00F73BC8">
              <w:t>has the potential to</w:t>
            </w:r>
            <w:r w:rsidR="00F73BC8" w:rsidRPr="004D5796">
              <w:t xml:space="preserve"> </w:t>
            </w:r>
            <w:r w:rsidRPr="004D5796">
              <w:t xml:space="preserve">slow or inhibit </w:t>
            </w:r>
            <w:proofErr w:type="spellStart"/>
            <w:r w:rsidRPr="004D5796">
              <w:t>osteodestructive</w:t>
            </w:r>
            <w:proofErr w:type="spellEnd"/>
            <w:r w:rsidRPr="004D5796">
              <w:t xml:space="preserve"> and </w:t>
            </w:r>
            <w:proofErr w:type="spellStart"/>
            <w:r w:rsidRPr="004D5796">
              <w:t>osteoproliferative</w:t>
            </w:r>
            <w:proofErr w:type="spellEnd"/>
            <w:r w:rsidRPr="004D5796">
              <w:t xml:space="preserve"> changes characteristic of AS, which are likely irreversible in established AS and which may </w:t>
            </w:r>
            <w:r w:rsidR="00F73BC8">
              <w:t>contribute</w:t>
            </w:r>
            <w:r w:rsidR="00F73BC8" w:rsidRPr="004D5796">
              <w:t xml:space="preserve"> </w:t>
            </w:r>
            <w:r w:rsidRPr="004D5796">
              <w:t>to disability. However, to date, unlike rheumatoid arthritis and psoriatic arthritis, recent treatment advances (</w:t>
            </w:r>
            <w:proofErr w:type="spellStart"/>
            <w:r w:rsidRPr="004D5796">
              <w:t>eg</w:t>
            </w:r>
            <w:proofErr w:type="spellEnd"/>
            <w:r w:rsidRPr="004D5796">
              <w:t xml:space="preserve"> TNF inhibitors) have not demonstrated robust efficacy in randomised controlled clinical trials in terms of inhibition of structural damage (which in </w:t>
            </w:r>
            <w:proofErr w:type="spellStart"/>
            <w:r w:rsidRPr="004D5796">
              <w:t>axSpA</w:t>
            </w:r>
            <w:proofErr w:type="spellEnd"/>
            <w:r w:rsidRPr="004D5796">
              <w:t xml:space="preserve"> consists of both </w:t>
            </w:r>
            <w:proofErr w:type="spellStart"/>
            <w:r w:rsidRPr="004D5796">
              <w:t>osteodestructive</w:t>
            </w:r>
            <w:proofErr w:type="spellEnd"/>
            <w:r w:rsidRPr="004D5796">
              <w:t xml:space="preserve"> and </w:t>
            </w:r>
            <w:proofErr w:type="spellStart"/>
            <w:r w:rsidRPr="004D5796">
              <w:t>osteoprofilerative</w:t>
            </w:r>
            <w:proofErr w:type="spellEnd"/>
            <w:r w:rsidRPr="004D5796">
              <w:t xml:space="preserve"> changes). As such, existing treatment options in patients with an inadequate response to NSAIDs focus on improvement of signs and symptoms and improvement of physical function. This should be considered in the revised guideline in terms of required endpoint selection for confirmatory clinical trials i.e. efficacy in terms of signs and symptoms and/or </w:t>
            </w:r>
            <w:r w:rsidRPr="004D5796">
              <w:lastRenderedPageBreak/>
              <w:t>improvements of physical functions are appropriate treatment goals, whilst prevention of structural progression remains an aspirational outcome, which, if demonstrated, should be allowed in the label but should not be a condition for approval.</w:t>
            </w:r>
            <w:r w:rsidRPr="004D5796" w:rsidDel="00897A06">
              <w:rPr>
                <w:rStyle w:val="CommentReference"/>
                <w:rFonts w:eastAsia="SimSun"/>
              </w:rPr>
              <w:t xml:space="preserve"> </w:t>
            </w:r>
          </w:p>
          <w:p w14:paraId="247D4AC5" w14:textId="77777777" w:rsidR="00D614BD" w:rsidRPr="004D5796" w:rsidRDefault="00D614BD" w:rsidP="00597348">
            <w:pPr>
              <w:pStyle w:val="TabletextrowsAgency"/>
              <w:spacing w:line="240" w:lineRule="auto"/>
              <w:jc w:val="both"/>
              <w:rPr>
                <w:rStyle w:val="CommentReference"/>
                <w:rFonts w:eastAsia="SimSun"/>
              </w:rPr>
            </w:pPr>
          </w:p>
          <w:p w14:paraId="75AA22C2" w14:textId="77777777" w:rsidR="00D614BD" w:rsidRPr="004D5796" w:rsidRDefault="00D614BD" w:rsidP="00D614BD">
            <w:pPr>
              <w:pStyle w:val="TabletextrowsAgency"/>
              <w:numPr>
                <w:ilvl w:val="0"/>
                <w:numId w:val="42"/>
              </w:numPr>
              <w:spacing w:line="240" w:lineRule="auto"/>
              <w:jc w:val="both"/>
              <w:rPr>
                <w:b/>
              </w:rPr>
            </w:pPr>
            <w:r w:rsidRPr="004D5796">
              <w:rPr>
                <w:b/>
              </w:rPr>
              <w:t>Prognosis should be defined more broadly</w:t>
            </w:r>
          </w:p>
          <w:p w14:paraId="1B04595A" w14:textId="77777777" w:rsidR="00D614BD" w:rsidRPr="004D5796" w:rsidRDefault="00D614BD" w:rsidP="00D614BD">
            <w:pPr>
              <w:pStyle w:val="TabletextrowsAgency"/>
              <w:spacing w:line="240" w:lineRule="auto"/>
              <w:jc w:val="both"/>
            </w:pPr>
            <w:r w:rsidRPr="004D5796">
              <w:t xml:space="preserve">Currently the factors mentioned </w:t>
            </w:r>
            <w:proofErr w:type="gramStart"/>
            <w:r w:rsidRPr="004D5796">
              <w:t>that influence prognosis are</w:t>
            </w:r>
            <w:proofErr w:type="gramEnd"/>
            <w:r w:rsidRPr="004D5796">
              <w:t xml:space="preserve"> only those associated with radiographic progression. Prognosis can pertain to either radiographic progression and/or progression of symptoms, disability, and survival and this should be reflected in the guideline. </w:t>
            </w:r>
          </w:p>
          <w:p w14:paraId="10E48254" w14:textId="77777777" w:rsidR="00597348" w:rsidRPr="004D5796" w:rsidRDefault="00597348" w:rsidP="00597348">
            <w:pPr>
              <w:pStyle w:val="TabletextrowsAgency"/>
              <w:spacing w:line="240" w:lineRule="auto"/>
              <w:jc w:val="both"/>
            </w:pPr>
          </w:p>
          <w:p w14:paraId="29687F93" w14:textId="77777777" w:rsidR="00597348" w:rsidRPr="004D5796" w:rsidRDefault="005719D4" w:rsidP="00597348">
            <w:pPr>
              <w:pStyle w:val="TabletextrowsAgency"/>
              <w:numPr>
                <w:ilvl w:val="0"/>
                <w:numId w:val="42"/>
              </w:numPr>
              <w:spacing w:line="240" w:lineRule="auto"/>
              <w:jc w:val="both"/>
              <w:rPr>
                <w:b/>
              </w:rPr>
            </w:pPr>
            <w:r w:rsidRPr="004D5796">
              <w:rPr>
                <w:b/>
              </w:rPr>
              <w:t>E</w:t>
            </w:r>
            <w:r w:rsidR="00597348" w:rsidRPr="004D5796">
              <w:rPr>
                <w:b/>
              </w:rPr>
              <w:t xml:space="preserve">xtra-articular manifestations </w:t>
            </w:r>
            <w:r w:rsidRPr="004D5796">
              <w:rPr>
                <w:b/>
              </w:rPr>
              <w:t>represent important</w:t>
            </w:r>
            <w:r w:rsidR="00597348" w:rsidRPr="004D5796">
              <w:rPr>
                <w:b/>
              </w:rPr>
              <w:t xml:space="preserve"> treatment goals</w:t>
            </w:r>
          </w:p>
          <w:p w14:paraId="28F2E094" w14:textId="77777777" w:rsidR="00597348" w:rsidRPr="004D5796" w:rsidRDefault="005719D4" w:rsidP="00597348">
            <w:pPr>
              <w:pStyle w:val="TabletextrowsAgency"/>
              <w:spacing w:line="240" w:lineRule="auto"/>
              <w:jc w:val="both"/>
            </w:pPr>
            <w:r w:rsidRPr="004D5796">
              <w:t xml:space="preserve">Given the prevalence of well-known </w:t>
            </w:r>
            <w:r w:rsidR="00597348" w:rsidRPr="004D5796">
              <w:t xml:space="preserve">extra-articular manifestations </w:t>
            </w:r>
            <w:r w:rsidRPr="004D5796">
              <w:t xml:space="preserve">such as uveitis, inflammatory bowel disease and psoriasis, which have consequences for the therapeutic choices, the future guideline should </w:t>
            </w:r>
            <w:r w:rsidR="00C15741">
              <w:t>provide optionality to seek a claim in the prevention of such manifestations</w:t>
            </w:r>
            <w:r w:rsidR="00A9596A">
              <w:t>.</w:t>
            </w:r>
            <w:r w:rsidR="00C15741">
              <w:t xml:space="preserve"> </w:t>
            </w:r>
            <w:r w:rsidR="00A9596A">
              <w:t>H</w:t>
            </w:r>
            <w:r w:rsidR="00C15741">
              <w:t>owever</w:t>
            </w:r>
            <w:r w:rsidR="00A9596A">
              <w:t>,</w:t>
            </w:r>
            <w:r w:rsidR="00C15741">
              <w:t xml:space="preserve"> this should not be a mandatory requirement for registration. </w:t>
            </w:r>
            <w:r w:rsidR="00A9596A">
              <w:t>D</w:t>
            </w:r>
            <w:r w:rsidR="00C15741">
              <w:t>ocumentation of history and new occurrences/flares of these manifestations should be recorded.</w:t>
            </w:r>
          </w:p>
          <w:p w14:paraId="089E4DC2" w14:textId="77777777" w:rsidR="004A5354" w:rsidRPr="004D5796" w:rsidRDefault="004A5354" w:rsidP="00597348">
            <w:pPr>
              <w:pStyle w:val="TabletextrowsAgency"/>
              <w:spacing w:line="240" w:lineRule="auto"/>
              <w:jc w:val="both"/>
            </w:pPr>
          </w:p>
          <w:p w14:paraId="3C19C399" w14:textId="77777777" w:rsidR="00B57C6E" w:rsidRPr="00B57C6E" w:rsidRDefault="004A5354" w:rsidP="00B57C6E">
            <w:pPr>
              <w:pStyle w:val="TabletextrowsAgency"/>
              <w:numPr>
                <w:ilvl w:val="0"/>
                <w:numId w:val="42"/>
              </w:numPr>
              <w:spacing w:line="240" w:lineRule="auto"/>
              <w:jc w:val="both"/>
              <w:rPr>
                <w:b/>
              </w:rPr>
            </w:pPr>
            <w:r w:rsidRPr="00B57C6E">
              <w:rPr>
                <w:b/>
              </w:rPr>
              <w:t>Guidance on requirements for withdrawal/discontinuation studies</w:t>
            </w:r>
            <w:r w:rsidR="00B57C6E" w:rsidRPr="00B57C6E">
              <w:rPr>
                <w:b/>
              </w:rPr>
              <w:t xml:space="preserve"> </w:t>
            </w:r>
          </w:p>
          <w:p w14:paraId="4371A04B" w14:textId="77777777" w:rsidR="004A5354" w:rsidRDefault="00B57C6E" w:rsidP="00B57C6E">
            <w:pPr>
              <w:pStyle w:val="TabletextrowsAgency"/>
              <w:spacing w:line="240" w:lineRule="auto"/>
              <w:jc w:val="both"/>
            </w:pPr>
            <w:r w:rsidRPr="008675E9">
              <w:t xml:space="preserve">Randomized withdrawal studies that address the possibility of discontinuing treatment after sufficient improvement have not been required for approval of compounds for the treatment of AS.  As such, this should also not be a prerequisite for approval of a new medicinal product for axial </w:t>
            </w:r>
            <w:proofErr w:type="spellStart"/>
            <w:r w:rsidRPr="008675E9">
              <w:t>SpA</w:t>
            </w:r>
            <w:proofErr w:type="spellEnd"/>
            <w:r w:rsidRPr="008675E9">
              <w:t xml:space="preserve">.  </w:t>
            </w:r>
          </w:p>
          <w:p w14:paraId="791F43AB" w14:textId="77777777" w:rsidR="00B57C6E" w:rsidRPr="00B57C6E" w:rsidRDefault="00B57C6E" w:rsidP="00B57C6E">
            <w:pPr>
              <w:pStyle w:val="TabletextrowsAgency"/>
              <w:spacing w:line="240" w:lineRule="auto"/>
              <w:jc w:val="both"/>
            </w:pPr>
          </w:p>
          <w:p w14:paraId="3F7402F0" w14:textId="77777777" w:rsidR="00986366" w:rsidRPr="004D5796" w:rsidRDefault="00B57C6E" w:rsidP="00986366">
            <w:pPr>
              <w:pStyle w:val="TabletextrowsAgency"/>
              <w:numPr>
                <w:ilvl w:val="0"/>
                <w:numId w:val="42"/>
              </w:numPr>
              <w:spacing w:line="240" w:lineRule="auto"/>
              <w:jc w:val="both"/>
              <w:rPr>
                <w:b/>
                <w:lang w:val="en-US"/>
              </w:rPr>
            </w:pPr>
            <w:r w:rsidRPr="004D5796">
              <w:rPr>
                <w:b/>
                <w:lang w:val="en-US"/>
              </w:rPr>
              <w:t xml:space="preserve">Evidence required for approval of novel </w:t>
            </w:r>
            <w:r w:rsidRPr="004D5796">
              <w:rPr>
                <w:b/>
                <w:lang w:val="en-US"/>
              </w:rPr>
              <w:lastRenderedPageBreak/>
              <w:t>mechanisms of action</w:t>
            </w:r>
            <w:r w:rsidRPr="008675E9">
              <w:t xml:space="preserve"> </w:t>
            </w:r>
          </w:p>
          <w:p w14:paraId="60A188ED" w14:textId="77777777" w:rsidR="00986366" w:rsidRPr="004D5796" w:rsidRDefault="00986366" w:rsidP="00986366">
            <w:pPr>
              <w:rPr>
                <w:lang w:val="en-US"/>
              </w:rPr>
            </w:pPr>
            <w:r w:rsidRPr="004D5796">
              <w:rPr>
                <w:lang w:val="en-US"/>
              </w:rPr>
              <w:t>An investigational product, for which there is little to no precedence for a related indication, may require more data versus an established product where the possibility may exist to extrapolate from pre-existing data. </w:t>
            </w:r>
          </w:p>
          <w:p w14:paraId="300EE0D6" w14:textId="77777777" w:rsidR="00986366" w:rsidRPr="004D5796" w:rsidRDefault="00725B4C" w:rsidP="00725B4C">
            <w:pPr>
              <w:pStyle w:val="TabletextrowsAgency"/>
              <w:spacing w:line="240" w:lineRule="auto"/>
              <w:jc w:val="both"/>
              <w:rPr>
                <w:lang w:val="en-US"/>
              </w:rPr>
            </w:pPr>
            <w:r>
              <w:t>The guideline should provide guidance where 2 randomised controlled trials are required versus a single well designed randomised controlled trial. For instance, for a product approved in a related indication (</w:t>
            </w:r>
            <w:proofErr w:type="spellStart"/>
            <w:r>
              <w:t>eg</w:t>
            </w:r>
            <w:proofErr w:type="spellEnd"/>
            <w:r>
              <w:t xml:space="preserve"> </w:t>
            </w:r>
            <w:proofErr w:type="spellStart"/>
            <w:r>
              <w:t>PsA</w:t>
            </w:r>
            <w:proofErr w:type="spellEnd"/>
            <w:r>
              <w:t>, RA), where there is therefore supporting safety data, a single well-controlled study with compelling data may suffice.</w:t>
            </w:r>
          </w:p>
        </w:tc>
        <w:tc>
          <w:tcPr>
            <w:tcW w:w="2313" w:type="pct"/>
            <w:shd w:val="clear" w:color="auto" w:fill="E1E3F2"/>
          </w:tcPr>
          <w:p w14:paraId="45D44B6E" w14:textId="77777777" w:rsidR="00EE1544" w:rsidRPr="004D5796" w:rsidRDefault="00EE1544">
            <w:pPr>
              <w:pStyle w:val="TabletextrowsAgency"/>
            </w:pPr>
          </w:p>
        </w:tc>
      </w:tr>
    </w:tbl>
    <w:p w14:paraId="55EF1214" w14:textId="77777777" w:rsidR="005D6621" w:rsidRPr="004D5796" w:rsidRDefault="005D6621">
      <w:pPr>
        <w:pStyle w:val="BodytextAgency"/>
      </w:pPr>
    </w:p>
    <w:p w14:paraId="4F957D2E" w14:textId="77777777" w:rsidR="005D6621" w:rsidRPr="004D5796" w:rsidRDefault="005D6621">
      <w:pPr>
        <w:pStyle w:val="Heading1Agency"/>
        <w:pageBreakBefore/>
      </w:pPr>
      <w:r w:rsidRPr="004D5796">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rsidRPr="004D5796" w14:paraId="151AB64E" w14:textId="77777777">
        <w:trPr>
          <w:tblHeader/>
        </w:trPr>
        <w:tc>
          <w:tcPr>
            <w:tcW w:w="645" w:type="pct"/>
            <w:tcBorders>
              <w:top w:val="nil"/>
              <w:left w:val="nil"/>
              <w:bottom w:val="nil"/>
              <w:right w:val="nil"/>
            </w:tcBorders>
            <w:shd w:val="clear" w:color="auto" w:fill="003399"/>
          </w:tcPr>
          <w:p w14:paraId="34F0277A" w14:textId="77777777" w:rsidR="005D6621" w:rsidRPr="004D5796" w:rsidRDefault="005D6621">
            <w:pPr>
              <w:pStyle w:val="TableheadingrowsAgency"/>
              <w:rPr>
                <w:b w:val="0"/>
              </w:rPr>
            </w:pPr>
            <w:r w:rsidRPr="004D5796">
              <w:rPr>
                <w:b w:val="0"/>
              </w:rPr>
              <w:t>Line number(s) of the relevant text</w:t>
            </w:r>
          </w:p>
          <w:p w14:paraId="7C273E05" w14:textId="77777777" w:rsidR="005D6621" w:rsidRPr="004D5796" w:rsidRDefault="005D6621">
            <w:pPr>
              <w:pStyle w:val="TableheadingrowsAgency"/>
              <w:rPr>
                <w:b w:val="0"/>
                <w:i/>
                <w:color w:val="339966"/>
              </w:rPr>
            </w:pPr>
            <w:r w:rsidRPr="004D5796">
              <w:rPr>
                <w:i/>
                <w:color w:val="339966"/>
              </w:rPr>
              <w:t>(</w:t>
            </w:r>
            <w:proofErr w:type="gramStart"/>
            <w:r w:rsidRPr="004D5796">
              <w:rPr>
                <w:i/>
                <w:color w:val="339966"/>
              </w:rPr>
              <w:t>e</w:t>
            </w:r>
            <w:proofErr w:type="gramEnd"/>
            <w:r w:rsidRPr="004D5796">
              <w:rPr>
                <w:i/>
                <w:color w:val="339966"/>
              </w:rPr>
              <w:t>.g. Lines 20-23)</w:t>
            </w:r>
          </w:p>
        </w:tc>
        <w:tc>
          <w:tcPr>
            <w:tcW w:w="812" w:type="pct"/>
            <w:tcBorders>
              <w:top w:val="nil"/>
              <w:left w:val="nil"/>
              <w:bottom w:val="nil"/>
              <w:right w:val="nil"/>
            </w:tcBorders>
            <w:shd w:val="clear" w:color="auto" w:fill="003399"/>
          </w:tcPr>
          <w:p w14:paraId="088349B2" w14:textId="77777777" w:rsidR="005D6621" w:rsidRPr="004D5796" w:rsidRDefault="005D6621">
            <w:pPr>
              <w:pStyle w:val="TableheadingrowsAgency"/>
              <w:rPr>
                <w:b w:val="0"/>
              </w:rPr>
            </w:pPr>
            <w:r w:rsidRPr="004D5796">
              <w:rPr>
                <w:b w:val="0"/>
              </w:rPr>
              <w:t>Stakeholder number</w:t>
            </w:r>
          </w:p>
          <w:p w14:paraId="2FAED927" w14:textId="77777777" w:rsidR="005D6621" w:rsidRPr="004D5796" w:rsidRDefault="005D6621">
            <w:pPr>
              <w:pStyle w:val="TableheadingrowsAgency"/>
              <w:rPr>
                <w:b w:val="0"/>
              </w:rPr>
            </w:pPr>
            <w:r w:rsidRPr="004D5796">
              <w:rPr>
                <w:i/>
                <w:color w:val="339966"/>
              </w:rPr>
              <w:t>(To be completed by the Agency)</w:t>
            </w:r>
          </w:p>
        </w:tc>
        <w:tc>
          <w:tcPr>
            <w:tcW w:w="2006" w:type="pct"/>
            <w:tcBorders>
              <w:top w:val="nil"/>
              <w:left w:val="nil"/>
              <w:bottom w:val="nil"/>
              <w:right w:val="nil"/>
            </w:tcBorders>
            <w:shd w:val="clear" w:color="auto" w:fill="003399"/>
          </w:tcPr>
          <w:p w14:paraId="61CD7C71" w14:textId="77777777" w:rsidR="005D6621" w:rsidRPr="004D5796" w:rsidRDefault="005D6621">
            <w:pPr>
              <w:pStyle w:val="TableheadingrowsAgency"/>
              <w:rPr>
                <w:b w:val="0"/>
              </w:rPr>
            </w:pPr>
            <w:r w:rsidRPr="004D5796">
              <w:rPr>
                <w:b w:val="0"/>
              </w:rPr>
              <w:t>Comment and rationale; proposed changes</w:t>
            </w:r>
          </w:p>
          <w:p w14:paraId="232BDBA3" w14:textId="77777777" w:rsidR="005D6621" w:rsidRPr="004D5796" w:rsidRDefault="005D6621">
            <w:pPr>
              <w:pStyle w:val="TableheadingrowsAgency"/>
              <w:rPr>
                <w:b w:val="0"/>
                <w:i/>
                <w:color w:val="339966"/>
              </w:rPr>
            </w:pPr>
            <w:r w:rsidRPr="004D5796">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6495B4DC" w14:textId="77777777" w:rsidR="005D6621" w:rsidRPr="004D5796" w:rsidRDefault="005D6621">
            <w:pPr>
              <w:pStyle w:val="TableheadingrowsAgency"/>
              <w:rPr>
                <w:b w:val="0"/>
              </w:rPr>
            </w:pPr>
            <w:r w:rsidRPr="004D5796">
              <w:rPr>
                <w:b w:val="0"/>
              </w:rPr>
              <w:t>Outcome</w:t>
            </w:r>
          </w:p>
          <w:p w14:paraId="5E48420C" w14:textId="77777777" w:rsidR="005D6621" w:rsidRPr="004D5796" w:rsidRDefault="005D6621">
            <w:pPr>
              <w:pStyle w:val="TableheadingrowsAgency"/>
              <w:rPr>
                <w:b w:val="0"/>
              </w:rPr>
            </w:pPr>
            <w:r w:rsidRPr="004D5796">
              <w:rPr>
                <w:i/>
                <w:color w:val="339966"/>
              </w:rPr>
              <w:t>(To be completed by the Agency)</w:t>
            </w:r>
          </w:p>
        </w:tc>
      </w:tr>
      <w:tr w:rsidR="002B04AA" w:rsidRPr="004D5796" w14:paraId="1CBC5ADC" w14:textId="77777777" w:rsidTr="00122857">
        <w:tc>
          <w:tcPr>
            <w:tcW w:w="645" w:type="pct"/>
            <w:shd w:val="clear" w:color="auto" w:fill="E1E3F2"/>
          </w:tcPr>
          <w:p w14:paraId="3CD0900C" w14:textId="77777777" w:rsidR="002B04AA" w:rsidRPr="004D5796" w:rsidRDefault="002B04AA" w:rsidP="00122857">
            <w:pPr>
              <w:pStyle w:val="TabletextrowsAgency"/>
            </w:pPr>
            <w:r w:rsidRPr="004D5796">
              <w:t>Line 4-5</w:t>
            </w:r>
          </w:p>
        </w:tc>
        <w:tc>
          <w:tcPr>
            <w:tcW w:w="812" w:type="pct"/>
            <w:shd w:val="clear" w:color="auto" w:fill="E1E3F2"/>
          </w:tcPr>
          <w:p w14:paraId="283301AA" w14:textId="77777777" w:rsidR="002B04AA" w:rsidRPr="004D5796" w:rsidRDefault="002B04AA" w:rsidP="00122857">
            <w:pPr>
              <w:pStyle w:val="TabletextrowsAgency"/>
              <w:rPr>
                <w:b/>
              </w:rPr>
            </w:pPr>
          </w:p>
        </w:tc>
        <w:tc>
          <w:tcPr>
            <w:tcW w:w="2006" w:type="pct"/>
            <w:shd w:val="clear" w:color="auto" w:fill="E1E3F2"/>
          </w:tcPr>
          <w:p w14:paraId="47D3A06A" w14:textId="77777777" w:rsidR="002B04AA" w:rsidRPr="004D5796" w:rsidRDefault="002B04AA" w:rsidP="00C44BB8">
            <w:pPr>
              <w:pStyle w:val="TabletextrowsAgency"/>
              <w:spacing w:line="240" w:lineRule="auto"/>
            </w:pPr>
            <w:r w:rsidRPr="004D5796">
              <w:t xml:space="preserve">Comment: It is not clear from this document if the current AS guideline from 2009 will be wholly rewritten taking into account the broader definition of axial </w:t>
            </w:r>
            <w:proofErr w:type="spellStart"/>
            <w:r w:rsidRPr="004D5796">
              <w:t>SpA</w:t>
            </w:r>
            <w:proofErr w:type="spellEnd"/>
            <w:r w:rsidRPr="004D5796">
              <w:t xml:space="preserve">, </w:t>
            </w:r>
            <w:r w:rsidRPr="004D5796">
              <w:rPr>
                <w:bCs/>
              </w:rPr>
              <w:t xml:space="preserve">with and without definite radiographic </w:t>
            </w:r>
            <w:proofErr w:type="spellStart"/>
            <w:r w:rsidRPr="004D5796">
              <w:rPr>
                <w:bCs/>
              </w:rPr>
              <w:t>sacroiliitis</w:t>
            </w:r>
            <w:proofErr w:type="spellEnd"/>
            <w:r w:rsidRPr="004D5796">
              <w:rPr>
                <w:bCs/>
              </w:rPr>
              <w:t xml:space="preserve"> or will nr-</w:t>
            </w:r>
            <w:proofErr w:type="spellStart"/>
            <w:r w:rsidRPr="004D5796">
              <w:rPr>
                <w:bCs/>
              </w:rPr>
              <w:t>axSpA</w:t>
            </w:r>
            <w:proofErr w:type="spellEnd"/>
            <w:r w:rsidRPr="004D5796">
              <w:rPr>
                <w:bCs/>
              </w:rPr>
              <w:t xml:space="preserve"> </w:t>
            </w:r>
            <w:r w:rsidRPr="004D5796">
              <w:t xml:space="preserve">be added as an addition to the existing AS text from 2009. </w:t>
            </w:r>
          </w:p>
          <w:p w14:paraId="1CBDCB31" w14:textId="77777777" w:rsidR="002B04AA" w:rsidRPr="004D5796" w:rsidRDefault="002B04AA" w:rsidP="00C44BB8">
            <w:pPr>
              <w:pStyle w:val="TabletextrowsAgency"/>
              <w:spacing w:line="240" w:lineRule="auto"/>
            </w:pPr>
          </w:p>
          <w:p w14:paraId="3828D19F" w14:textId="77777777" w:rsidR="002B04AA" w:rsidRPr="004D5796" w:rsidRDefault="002B04AA" w:rsidP="00C44BB8">
            <w:pPr>
              <w:pStyle w:val="TabletextrowsAgency"/>
              <w:spacing w:line="240" w:lineRule="auto"/>
            </w:pPr>
            <w:r w:rsidRPr="004D5796">
              <w:rPr>
                <w:iCs/>
              </w:rPr>
              <w:t>Proposed change: Change “Guideline on Clinical Investigation Medical Products for the Treatment of Ankylosing Spondylitis</w:t>
            </w:r>
            <w:r w:rsidR="00A9596A">
              <w:rPr>
                <w:iCs/>
              </w:rPr>
              <w:t>”</w:t>
            </w:r>
            <w:r w:rsidRPr="004D5796">
              <w:rPr>
                <w:iCs/>
              </w:rPr>
              <w:t xml:space="preserve"> to the Treatment of A</w:t>
            </w:r>
            <w:r w:rsidRPr="004D5796">
              <w:t xml:space="preserve">xial </w:t>
            </w:r>
            <w:proofErr w:type="spellStart"/>
            <w:r w:rsidRPr="004D5796">
              <w:t>Spondyloarh</w:t>
            </w:r>
            <w:r w:rsidR="00651949">
              <w:t>ritis</w:t>
            </w:r>
            <w:proofErr w:type="spellEnd"/>
            <w:r w:rsidRPr="004D5796">
              <w:t xml:space="preserve"> </w:t>
            </w:r>
            <w:proofErr w:type="gramStart"/>
            <w:r w:rsidRPr="004D5796">
              <w:t>as a</w:t>
            </w:r>
            <w:proofErr w:type="gramEnd"/>
            <w:r w:rsidRPr="004D5796">
              <w:t xml:space="preserve"> new guideline vs updating the current text to include nr-</w:t>
            </w:r>
            <w:proofErr w:type="spellStart"/>
            <w:r w:rsidRPr="004D5796">
              <w:t>axSpA</w:t>
            </w:r>
            <w:proofErr w:type="spellEnd"/>
            <w:r w:rsidRPr="004D5796">
              <w:t>.</w:t>
            </w:r>
          </w:p>
          <w:p w14:paraId="10FE8ACB" w14:textId="77777777" w:rsidR="002B04AA" w:rsidRPr="004D5796" w:rsidRDefault="002B04AA" w:rsidP="00C44BB8">
            <w:pPr>
              <w:pStyle w:val="TabletextrowsAgency"/>
              <w:spacing w:line="240" w:lineRule="auto"/>
            </w:pPr>
          </w:p>
        </w:tc>
        <w:tc>
          <w:tcPr>
            <w:tcW w:w="1537" w:type="pct"/>
            <w:shd w:val="clear" w:color="auto" w:fill="E1E3F2"/>
          </w:tcPr>
          <w:p w14:paraId="101F52E8" w14:textId="77777777" w:rsidR="002B04AA" w:rsidRPr="004D5796" w:rsidRDefault="002B04AA" w:rsidP="00122857">
            <w:pPr>
              <w:pStyle w:val="TabletextrowsAgency"/>
            </w:pPr>
          </w:p>
        </w:tc>
      </w:tr>
      <w:tr w:rsidR="008E28A6" w:rsidRPr="004D5796" w14:paraId="347340C5" w14:textId="77777777" w:rsidTr="00122857">
        <w:tc>
          <w:tcPr>
            <w:tcW w:w="645" w:type="pct"/>
            <w:shd w:val="clear" w:color="auto" w:fill="E1E3F2"/>
          </w:tcPr>
          <w:p w14:paraId="00F675D4" w14:textId="77777777" w:rsidR="008E28A6" w:rsidRPr="004D5796" w:rsidRDefault="008E28A6" w:rsidP="00122857">
            <w:pPr>
              <w:pStyle w:val="TabletextrowsAgency"/>
            </w:pPr>
            <w:r w:rsidRPr="004D5796">
              <w:t>Line 34</w:t>
            </w:r>
          </w:p>
        </w:tc>
        <w:tc>
          <w:tcPr>
            <w:tcW w:w="812" w:type="pct"/>
            <w:shd w:val="clear" w:color="auto" w:fill="E1E3F2"/>
          </w:tcPr>
          <w:p w14:paraId="0A12F992" w14:textId="77777777" w:rsidR="008E28A6" w:rsidRPr="004D5796" w:rsidRDefault="008E28A6" w:rsidP="00122857">
            <w:pPr>
              <w:pStyle w:val="TabletextrowsAgency"/>
              <w:rPr>
                <w:b/>
              </w:rPr>
            </w:pPr>
          </w:p>
        </w:tc>
        <w:tc>
          <w:tcPr>
            <w:tcW w:w="2006" w:type="pct"/>
            <w:shd w:val="clear" w:color="auto" w:fill="E1E3F2"/>
          </w:tcPr>
          <w:p w14:paraId="14FD0852" w14:textId="77777777" w:rsidR="008E28A6" w:rsidRPr="004D5796" w:rsidRDefault="008E28A6" w:rsidP="00C44BB8">
            <w:pPr>
              <w:pStyle w:val="TabletextrowsAgency"/>
              <w:spacing w:line="240" w:lineRule="auto"/>
            </w:pPr>
            <w:r w:rsidRPr="004D5796">
              <w:t xml:space="preserve">Comment: The ASAS criteria for axial </w:t>
            </w:r>
            <w:proofErr w:type="spellStart"/>
            <w:r w:rsidRPr="004D5796">
              <w:t>SpA</w:t>
            </w:r>
            <w:proofErr w:type="spellEnd"/>
            <w:r w:rsidRPr="004D5796">
              <w:t xml:space="preserve"> do not define a newly identified group of patients but rather broaden the scope compared to the modified New York (</w:t>
            </w:r>
            <w:proofErr w:type="spellStart"/>
            <w:r w:rsidRPr="004D5796">
              <w:t>mNY</w:t>
            </w:r>
            <w:proofErr w:type="spellEnd"/>
            <w:r w:rsidRPr="004D5796">
              <w:t xml:space="preserve">) criteria for AS to include patients who in clinical practice have the same signs and symptoms as </w:t>
            </w:r>
            <w:proofErr w:type="spellStart"/>
            <w:r w:rsidRPr="004D5796">
              <w:t>AS</w:t>
            </w:r>
            <w:proofErr w:type="spellEnd"/>
            <w:r w:rsidRPr="004D5796">
              <w:t xml:space="preserve"> patients but simply don’t have the radiographic changes required by the </w:t>
            </w:r>
            <w:proofErr w:type="spellStart"/>
            <w:r w:rsidRPr="004D5796">
              <w:t>mNY</w:t>
            </w:r>
            <w:proofErr w:type="spellEnd"/>
            <w:r w:rsidRPr="004D5796">
              <w:t xml:space="preserve"> criteria.  Such patients were often diagnosed as having “undifferentiated </w:t>
            </w:r>
            <w:proofErr w:type="spellStart"/>
            <w:r w:rsidRPr="004D5796">
              <w:t>spondyloarthritis</w:t>
            </w:r>
            <w:proofErr w:type="spellEnd"/>
            <w:r w:rsidRPr="004D5796">
              <w:t xml:space="preserve"> (</w:t>
            </w:r>
            <w:proofErr w:type="spellStart"/>
            <w:r w:rsidRPr="004D5796">
              <w:t>uSpA</w:t>
            </w:r>
            <w:proofErr w:type="spellEnd"/>
            <w:r w:rsidRPr="004D5796">
              <w:t xml:space="preserve">)”. Similar to other rheumatic diseases such as undifferentiated arthritis or undifferentiated connective tissue disease, rheumatologists prefer to now better and more precisely characterize patients. </w:t>
            </w:r>
          </w:p>
          <w:p w14:paraId="4A34EC32" w14:textId="77777777" w:rsidR="008E28A6" w:rsidRPr="004D5796" w:rsidRDefault="008E28A6" w:rsidP="00C44BB8">
            <w:pPr>
              <w:pStyle w:val="TabletextrowsAgency"/>
              <w:spacing w:line="240" w:lineRule="auto"/>
            </w:pPr>
          </w:p>
          <w:p w14:paraId="6B561769" w14:textId="77777777" w:rsidR="008E28A6" w:rsidRPr="004D5796" w:rsidRDefault="008E28A6" w:rsidP="00C44BB8">
            <w:pPr>
              <w:pStyle w:val="TabletextrowsAgency"/>
              <w:spacing w:line="240" w:lineRule="auto"/>
            </w:pPr>
            <w:r w:rsidRPr="004D5796">
              <w:t xml:space="preserve">Proposed change (if any): we would propose to modify the text to state: “In 2009 ASAS (Assessment in </w:t>
            </w:r>
            <w:proofErr w:type="spellStart"/>
            <w:r w:rsidRPr="004D5796">
              <w:t>SpondyloArthritis</w:t>
            </w:r>
            <w:proofErr w:type="spellEnd"/>
            <w:r w:rsidRPr="004D5796">
              <w:t xml:space="preserve"> International Society) proposed criteria defining the entity of axial </w:t>
            </w:r>
            <w:proofErr w:type="spellStart"/>
            <w:r w:rsidRPr="004D5796">
              <w:t>spondyloarthritis</w:t>
            </w:r>
            <w:proofErr w:type="spellEnd"/>
            <w:r w:rsidRPr="004D5796">
              <w:t xml:space="preserve"> (axial </w:t>
            </w:r>
            <w:proofErr w:type="spellStart"/>
            <w:r w:rsidRPr="004D5796">
              <w:t>SpA</w:t>
            </w:r>
            <w:proofErr w:type="spellEnd"/>
            <w:r w:rsidRPr="004D5796">
              <w:t xml:space="preserve">) which includes a broader set of patients than the 1984 </w:t>
            </w:r>
            <w:proofErr w:type="spellStart"/>
            <w:r w:rsidR="00725B4C">
              <w:t>m</w:t>
            </w:r>
            <w:r w:rsidRPr="004D5796">
              <w:t>NY</w:t>
            </w:r>
            <w:proofErr w:type="spellEnd"/>
            <w:r w:rsidRPr="004D5796">
              <w:t xml:space="preserve"> criteria for AS.”  </w:t>
            </w:r>
          </w:p>
        </w:tc>
        <w:tc>
          <w:tcPr>
            <w:tcW w:w="1537" w:type="pct"/>
            <w:shd w:val="clear" w:color="auto" w:fill="E1E3F2"/>
          </w:tcPr>
          <w:p w14:paraId="60CD0630" w14:textId="77777777" w:rsidR="008E28A6" w:rsidRPr="004D5796" w:rsidRDefault="008E28A6" w:rsidP="00122857">
            <w:pPr>
              <w:pStyle w:val="TabletextrowsAgency"/>
            </w:pPr>
          </w:p>
        </w:tc>
      </w:tr>
      <w:tr w:rsidR="00E35E7D" w:rsidRPr="004D5796" w14:paraId="708C53E2" w14:textId="77777777">
        <w:tc>
          <w:tcPr>
            <w:tcW w:w="645" w:type="pct"/>
            <w:shd w:val="clear" w:color="auto" w:fill="E1E3F2"/>
          </w:tcPr>
          <w:p w14:paraId="44889D88" w14:textId="77777777" w:rsidR="00E35E7D" w:rsidRPr="004D5796" w:rsidRDefault="007B6532" w:rsidP="00E35E7D">
            <w:pPr>
              <w:pStyle w:val="TabletextrowsAgency"/>
              <w:spacing w:line="240" w:lineRule="auto"/>
            </w:pPr>
            <w:r w:rsidRPr="004D5796">
              <w:t xml:space="preserve">Line </w:t>
            </w:r>
            <w:r w:rsidR="00E35E7D" w:rsidRPr="004D5796">
              <w:t>36</w:t>
            </w:r>
          </w:p>
          <w:p w14:paraId="48104DB0" w14:textId="77777777" w:rsidR="00E35E7D" w:rsidRPr="004D5796" w:rsidRDefault="00E35E7D" w:rsidP="00E35E7D">
            <w:pPr>
              <w:pStyle w:val="TabletextrowsAgency"/>
              <w:spacing w:line="240" w:lineRule="auto"/>
            </w:pPr>
          </w:p>
        </w:tc>
        <w:tc>
          <w:tcPr>
            <w:tcW w:w="812" w:type="pct"/>
            <w:shd w:val="clear" w:color="auto" w:fill="E1E3F2"/>
          </w:tcPr>
          <w:p w14:paraId="34812644" w14:textId="77777777" w:rsidR="00E35E7D" w:rsidRPr="004D5796" w:rsidRDefault="00E35E7D" w:rsidP="00E35E7D">
            <w:pPr>
              <w:pStyle w:val="TabletextrowsAgency"/>
              <w:spacing w:line="240" w:lineRule="auto"/>
              <w:rPr>
                <w:b/>
              </w:rPr>
            </w:pPr>
          </w:p>
        </w:tc>
        <w:tc>
          <w:tcPr>
            <w:tcW w:w="2006" w:type="pct"/>
            <w:shd w:val="clear" w:color="auto" w:fill="E1E3F2"/>
          </w:tcPr>
          <w:p w14:paraId="59A5C390" w14:textId="77777777" w:rsidR="00E35E7D" w:rsidRPr="004D5796" w:rsidRDefault="00E35E7D" w:rsidP="00C44BB8">
            <w:pPr>
              <w:pStyle w:val="TabletextrowsAgency"/>
              <w:spacing w:line="240" w:lineRule="auto"/>
            </w:pPr>
            <w:r w:rsidRPr="004D5796">
              <w:t>Comment: The term used in the concept paper “without radiological findings” could suggest that nr-</w:t>
            </w:r>
            <w:proofErr w:type="spellStart"/>
            <w:r w:rsidRPr="004D5796">
              <w:t>axSpA</w:t>
            </w:r>
            <w:proofErr w:type="spellEnd"/>
            <w:r w:rsidRPr="004D5796">
              <w:t xml:space="preserve"> must not </w:t>
            </w:r>
            <w:r w:rsidRPr="004D5796">
              <w:lastRenderedPageBreak/>
              <w:t>show changes even on MRI.  This is incorrect.</w:t>
            </w:r>
          </w:p>
          <w:p w14:paraId="474C4261" w14:textId="77777777" w:rsidR="00E35E7D" w:rsidRPr="004D5796" w:rsidRDefault="00E35E7D" w:rsidP="00C44BB8">
            <w:pPr>
              <w:pStyle w:val="TabletextrowsAgency"/>
              <w:spacing w:line="240" w:lineRule="auto"/>
            </w:pPr>
          </w:p>
          <w:p w14:paraId="539B5FA0" w14:textId="77777777" w:rsidR="00E35E7D" w:rsidRPr="004D5796" w:rsidRDefault="00E35E7D" w:rsidP="00C44BB8">
            <w:pPr>
              <w:pStyle w:val="TabletextrowsAgency"/>
              <w:spacing w:line="240" w:lineRule="auto"/>
            </w:pPr>
            <w:r w:rsidRPr="004D5796">
              <w:t xml:space="preserve">Proposed change (if any): Change “without radiological findings” to “without </w:t>
            </w:r>
            <w:r w:rsidR="002238FD">
              <w:t xml:space="preserve">radiological findings fulfilling the </w:t>
            </w:r>
            <w:proofErr w:type="spellStart"/>
            <w:r w:rsidR="002238FD">
              <w:t>m</w:t>
            </w:r>
            <w:r w:rsidR="00725B4C">
              <w:t>NY</w:t>
            </w:r>
            <w:proofErr w:type="spellEnd"/>
            <w:r w:rsidR="002238FD">
              <w:t xml:space="preserve"> criteria </w:t>
            </w:r>
            <w:r w:rsidRPr="004D5796">
              <w:t>”</w:t>
            </w:r>
          </w:p>
          <w:p w14:paraId="0AB0558B" w14:textId="77777777" w:rsidR="00E35E7D" w:rsidRPr="004D5796" w:rsidRDefault="00E35E7D" w:rsidP="00C44BB8">
            <w:pPr>
              <w:pStyle w:val="TabletextrowsAgency"/>
              <w:spacing w:line="240" w:lineRule="auto"/>
            </w:pPr>
          </w:p>
        </w:tc>
        <w:tc>
          <w:tcPr>
            <w:tcW w:w="1537" w:type="pct"/>
            <w:shd w:val="clear" w:color="auto" w:fill="E1E3F2"/>
          </w:tcPr>
          <w:p w14:paraId="29CE75DC" w14:textId="77777777" w:rsidR="00E35E7D" w:rsidRPr="004D5796" w:rsidRDefault="00E35E7D">
            <w:pPr>
              <w:pStyle w:val="TabletextrowsAgency"/>
            </w:pPr>
          </w:p>
        </w:tc>
      </w:tr>
      <w:tr w:rsidR="008E28A6" w:rsidRPr="004D5796" w14:paraId="2DCE8928" w14:textId="77777777" w:rsidTr="00122857">
        <w:tc>
          <w:tcPr>
            <w:tcW w:w="645" w:type="pct"/>
            <w:shd w:val="clear" w:color="auto" w:fill="E1E3F2"/>
          </w:tcPr>
          <w:p w14:paraId="527AF292" w14:textId="77777777" w:rsidR="008E28A6" w:rsidRPr="004D5796" w:rsidRDefault="008E28A6" w:rsidP="00122857">
            <w:pPr>
              <w:pStyle w:val="TabletextrowsAgency"/>
            </w:pPr>
            <w:r w:rsidRPr="004D5796">
              <w:lastRenderedPageBreak/>
              <w:t>Line 37</w:t>
            </w:r>
          </w:p>
        </w:tc>
        <w:tc>
          <w:tcPr>
            <w:tcW w:w="812" w:type="pct"/>
            <w:shd w:val="clear" w:color="auto" w:fill="E1E3F2"/>
          </w:tcPr>
          <w:p w14:paraId="51B8B36A" w14:textId="77777777" w:rsidR="008E28A6" w:rsidRPr="004D5796" w:rsidRDefault="008E28A6" w:rsidP="00122857">
            <w:pPr>
              <w:pStyle w:val="TabletextrowsAgency"/>
              <w:rPr>
                <w:b/>
              </w:rPr>
            </w:pPr>
          </w:p>
        </w:tc>
        <w:tc>
          <w:tcPr>
            <w:tcW w:w="2006" w:type="pct"/>
            <w:shd w:val="clear" w:color="auto" w:fill="E1E3F2"/>
          </w:tcPr>
          <w:p w14:paraId="35C7C452" w14:textId="77777777" w:rsidR="008E28A6" w:rsidRPr="004D5796" w:rsidRDefault="008E28A6" w:rsidP="00C44BB8">
            <w:pPr>
              <w:pStyle w:val="TabletextrowsAgency"/>
              <w:spacing w:line="240" w:lineRule="auto"/>
            </w:pPr>
            <w:r w:rsidRPr="004D5796">
              <w:t xml:space="preserve">Comment: As defined by the scientific community, the official term is “non-radiographic axial </w:t>
            </w:r>
            <w:proofErr w:type="spellStart"/>
            <w:r w:rsidRPr="004D5796">
              <w:t>spondyloarthritis</w:t>
            </w:r>
            <w:proofErr w:type="spellEnd"/>
            <w:r w:rsidRPr="004D5796">
              <w:t>” and the respective abbreviation is “nr-</w:t>
            </w:r>
            <w:proofErr w:type="spellStart"/>
            <w:r w:rsidRPr="004D5796">
              <w:t>axSpA</w:t>
            </w:r>
            <w:proofErr w:type="spellEnd"/>
            <w:r w:rsidRPr="004D5796">
              <w:t xml:space="preserve">” (and not “non-radiological axial </w:t>
            </w:r>
            <w:proofErr w:type="spellStart"/>
            <w:r w:rsidRPr="004D5796">
              <w:t>spondyloarthritis</w:t>
            </w:r>
            <w:proofErr w:type="spellEnd"/>
            <w:r w:rsidRPr="004D5796">
              <w:t xml:space="preserve"> (nr-</w:t>
            </w:r>
            <w:proofErr w:type="spellStart"/>
            <w:r w:rsidRPr="004D5796">
              <w:t>AxSpa</w:t>
            </w:r>
            <w:proofErr w:type="spellEnd"/>
            <w:r w:rsidRPr="004D5796">
              <w:t xml:space="preserve">)” as currently stated).  </w:t>
            </w:r>
          </w:p>
          <w:p w14:paraId="4BC35D52" w14:textId="77777777" w:rsidR="008E28A6" w:rsidRPr="004D5796" w:rsidRDefault="008E28A6" w:rsidP="00C44BB8">
            <w:pPr>
              <w:pStyle w:val="TabletextrowsAgency"/>
              <w:spacing w:line="240" w:lineRule="auto"/>
            </w:pPr>
          </w:p>
          <w:p w14:paraId="20E00355" w14:textId="77777777" w:rsidR="008E28A6" w:rsidRPr="004D5796" w:rsidRDefault="008E28A6" w:rsidP="00C44BB8">
            <w:pPr>
              <w:pStyle w:val="TabletextrowsAgency"/>
              <w:spacing w:line="240" w:lineRule="auto"/>
            </w:pPr>
            <w:r w:rsidRPr="004D5796">
              <w:t xml:space="preserve">Proposed change (if any): change to “non-radiographic axial </w:t>
            </w:r>
            <w:proofErr w:type="spellStart"/>
            <w:r w:rsidRPr="004D5796">
              <w:t>spondyloarthritis</w:t>
            </w:r>
            <w:proofErr w:type="spellEnd"/>
            <w:r w:rsidRPr="004D5796">
              <w:t xml:space="preserve"> (nr-</w:t>
            </w:r>
            <w:proofErr w:type="spellStart"/>
            <w:r w:rsidRPr="004D5796">
              <w:t>axSpA</w:t>
            </w:r>
            <w:proofErr w:type="spellEnd"/>
            <w:r w:rsidRPr="004D5796">
              <w:t>)”</w:t>
            </w:r>
          </w:p>
        </w:tc>
        <w:tc>
          <w:tcPr>
            <w:tcW w:w="1537" w:type="pct"/>
            <w:shd w:val="clear" w:color="auto" w:fill="E1E3F2"/>
          </w:tcPr>
          <w:p w14:paraId="4CECA6F9" w14:textId="77777777" w:rsidR="008E28A6" w:rsidRPr="004D5796" w:rsidRDefault="008E28A6" w:rsidP="00122857">
            <w:pPr>
              <w:pStyle w:val="TabletextrowsAgency"/>
            </w:pPr>
          </w:p>
        </w:tc>
      </w:tr>
      <w:tr w:rsidR="008E28A6" w:rsidRPr="004D5796" w14:paraId="18613985" w14:textId="77777777" w:rsidTr="00122857">
        <w:tc>
          <w:tcPr>
            <w:tcW w:w="645" w:type="pct"/>
            <w:shd w:val="clear" w:color="auto" w:fill="E1E3F2"/>
          </w:tcPr>
          <w:p w14:paraId="6770902E" w14:textId="77777777" w:rsidR="008E28A6" w:rsidRPr="004D5796" w:rsidRDefault="008E28A6" w:rsidP="00122857">
            <w:pPr>
              <w:pStyle w:val="TabletextrowsAgency"/>
            </w:pPr>
            <w:r w:rsidRPr="004D5796">
              <w:t>Line 38</w:t>
            </w:r>
          </w:p>
        </w:tc>
        <w:tc>
          <w:tcPr>
            <w:tcW w:w="812" w:type="pct"/>
            <w:shd w:val="clear" w:color="auto" w:fill="E1E3F2"/>
          </w:tcPr>
          <w:p w14:paraId="64582DF1" w14:textId="77777777" w:rsidR="008E28A6" w:rsidRPr="004D5796" w:rsidRDefault="008E28A6" w:rsidP="00122857">
            <w:pPr>
              <w:pStyle w:val="TabletextrowsAgency"/>
            </w:pPr>
          </w:p>
        </w:tc>
        <w:tc>
          <w:tcPr>
            <w:tcW w:w="2006" w:type="pct"/>
            <w:shd w:val="clear" w:color="auto" w:fill="E1E3F2"/>
          </w:tcPr>
          <w:p w14:paraId="25E772B5" w14:textId="77777777" w:rsidR="008E28A6" w:rsidRPr="004D5796" w:rsidRDefault="008E28A6" w:rsidP="00C44BB8">
            <w:pPr>
              <w:autoSpaceDE w:val="0"/>
              <w:autoSpaceDN w:val="0"/>
              <w:adjustRightInd w:val="0"/>
              <w:rPr>
                <w:rFonts w:cs="Calibri"/>
              </w:rPr>
            </w:pPr>
            <w:r w:rsidRPr="004D5796">
              <w:rPr>
                <w:rFonts w:cs="Calibri"/>
              </w:rPr>
              <w:t>Comment: the guideline currently describes a prevalence of 0.1%-0</w:t>
            </w:r>
            <w:proofErr w:type="gramStart"/>
            <w:r w:rsidRPr="004D5796">
              <w:rPr>
                <w:rFonts w:cs="Calibri"/>
              </w:rPr>
              <w:t>.2</w:t>
            </w:r>
            <w:proofErr w:type="gramEnd"/>
            <w:r w:rsidRPr="004D5796">
              <w:rPr>
                <w:rFonts w:cs="Calibri"/>
              </w:rPr>
              <w:t xml:space="preserve">% for AS in Western Europe. </w:t>
            </w:r>
          </w:p>
          <w:p w14:paraId="3B2862C5" w14:textId="77777777" w:rsidR="008E28A6" w:rsidRPr="004D5796" w:rsidRDefault="008E28A6" w:rsidP="00C44BB8">
            <w:pPr>
              <w:autoSpaceDE w:val="0"/>
              <w:autoSpaceDN w:val="0"/>
              <w:adjustRightInd w:val="0"/>
              <w:rPr>
                <w:rFonts w:cs="Calibri"/>
              </w:rPr>
            </w:pPr>
          </w:p>
          <w:p w14:paraId="1761F151" w14:textId="77777777" w:rsidR="008E28A6" w:rsidRPr="004D5796" w:rsidRDefault="008E28A6" w:rsidP="00C44BB8">
            <w:pPr>
              <w:autoSpaceDE w:val="0"/>
              <w:autoSpaceDN w:val="0"/>
              <w:adjustRightInd w:val="0"/>
              <w:rPr>
                <w:rFonts w:cs="Calibri"/>
              </w:rPr>
            </w:pPr>
            <w:r w:rsidRPr="004D5796">
              <w:rPr>
                <w:rFonts w:cs="Calibri"/>
              </w:rPr>
              <w:t>According to published literature the AS prevalence in Northern Europe is around 0.12-0.15% (</w:t>
            </w:r>
            <w:proofErr w:type="spellStart"/>
            <w:r w:rsidRPr="004D5796">
              <w:rPr>
                <w:rFonts w:cs="Calibri"/>
              </w:rPr>
              <w:t>Haglund</w:t>
            </w:r>
            <w:proofErr w:type="spellEnd"/>
            <w:r w:rsidRPr="004D5796">
              <w:rPr>
                <w:rFonts w:cs="Calibri"/>
              </w:rPr>
              <w:t xml:space="preserve"> et al. </w:t>
            </w:r>
            <w:r w:rsidRPr="004D5796">
              <w:rPr>
                <w:rFonts w:cs="Calibri"/>
                <w:lang w:val="fr-BE"/>
              </w:rPr>
              <w:t xml:space="preserve">Ann Rheum Dis </w:t>
            </w:r>
            <w:r w:rsidRPr="004D5796">
              <w:rPr>
                <w:rFonts w:cs="Calibri"/>
                <w:color w:val="131413"/>
                <w:lang w:val="fr-BE" w:eastAsia="en-US"/>
              </w:rPr>
              <w:t>2011</w:t>
            </w:r>
            <w:proofErr w:type="gramStart"/>
            <w:r w:rsidRPr="004D5796">
              <w:rPr>
                <w:rFonts w:cs="Calibri"/>
                <w:color w:val="131413"/>
                <w:lang w:val="fr-BE" w:eastAsia="en-US"/>
              </w:rPr>
              <w:t>;70</w:t>
            </w:r>
            <w:proofErr w:type="gramEnd"/>
            <w:r w:rsidRPr="004D5796">
              <w:rPr>
                <w:rFonts w:cs="Calibri"/>
                <w:color w:val="131413"/>
                <w:lang w:val="fr-BE" w:eastAsia="en-US"/>
              </w:rPr>
              <w:t xml:space="preserve">(6):943–8.; Geirsson et al. Clin Exp Rheumatol 2010;28(3):333–40; Kaipiainen-Seppanen O et al. </w:t>
            </w:r>
            <w:r w:rsidRPr="004D5796">
              <w:rPr>
                <w:rFonts w:cs="Calibri"/>
                <w:color w:val="131413"/>
                <w:lang w:val="en-US" w:eastAsia="en-US"/>
              </w:rPr>
              <w:t xml:space="preserve">J </w:t>
            </w:r>
            <w:proofErr w:type="spellStart"/>
            <w:r w:rsidRPr="004D5796">
              <w:rPr>
                <w:rFonts w:cs="Calibri"/>
                <w:color w:val="131413"/>
                <w:lang w:val="en-US" w:eastAsia="en-US"/>
              </w:rPr>
              <w:t>Rheumatol</w:t>
            </w:r>
            <w:proofErr w:type="spellEnd"/>
            <w:r w:rsidRPr="004D5796">
              <w:rPr>
                <w:rFonts w:cs="Calibri"/>
                <w:color w:val="131413"/>
                <w:lang w:val="en-US" w:eastAsia="en-US"/>
              </w:rPr>
              <w:t xml:space="preserve"> 1997;24(3):496–9) with the exception of Norway where the AS prevalence is higher with a prevalence of </w:t>
            </w:r>
            <w:r w:rsidRPr="004D5796">
              <w:rPr>
                <w:rFonts w:cs="Calibri"/>
              </w:rPr>
              <w:t xml:space="preserve">1.1-1.4% (Gran T. et al. Ann Rheum Dis 1985;44;359-67). </w:t>
            </w:r>
          </w:p>
          <w:p w14:paraId="23736A6C" w14:textId="77777777" w:rsidR="008E28A6" w:rsidRPr="004D5796" w:rsidRDefault="008E28A6" w:rsidP="00C44BB8">
            <w:pPr>
              <w:autoSpaceDE w:val="0"/>
              <w:autoSpaceDN w:val="0"/>
              <w:adjustRightInd w:val="0"/>
              <w:rPr>
                <w:rFonts w:cs="Calibri"/>
              </w:rPr>
            </w:pPr>
          </w:p>
          <w:p w14:paraId="1DC67B57" w14:textId="77777777" w:rsidR="008E28A6" w:rsidRPr="004D5796" w:rsidRDefault="008E28A6" w:rsidP="00C44BB8">
            <w:pPr>
              <w:autoSpaceDE w:val="0"/>
              <w:autoSpaceDN w:val="0"/>
              <w:adjustRightInd w:val="0"/>
              <w:rPr>
                <w:rFonts w:cs="Calibri"/>
              </w:rPr>
            </w:pPr>
            <w:r w:rsidRPr="004D5796">
              <w:rPr>
                <w:rFonts w:cs="Calibri"/>
              </w:rPr>
              <w:t xml:space="preserve">In representative Western European countries the AS prevalence is 0.31% in France (Costantino et al. </w:t>
            </w:r>
            <w:r w:rsidRPr="004D5796">
              <w:rPr>
                <w:rStyle w:val="jrnl"/>
                <w:rFonts w:cs="Calibri"/>
              </w:rPr>
              <w:t>Ann Rheum Dis</w:t>
            </w:r>
            <w:r w:rsidRPr="004D5796">
              <w:rPr>
                <w:rFonts w:cs="Calibri"/>
              </w:rPr>
              <w:t>. 2015 Apr</w:t>
            </w:r>
            <w:proofErr w:type="gramStart"/>
            <w:r w:rsidRPr="004D5796">
              <w:rPr>
                <w:rFonts w:cs="Calibri"/>
              </w:rPr>
              <w:t>;74</w:t>
            </w:r>
            <w:proofErr w:type="gramEnd"/>
            <w:r w:rsidRPr="004D5796">
              <w:rPr>
                <w:rFonts w:cs="Calibri"/>
              </w:rPr>
              <w:t xml:space="preserve">(4):689-93.) and 0.55% in Germany (Braun J et al. Arthritis Rheum 2005;52:4049-50). </w:t>
            </w:r>
          </w:p>
          <w:p w14:paraId="627684BB" w14:textId="77777777" w:rsidR="008E28A6" w:rsidRPr="004D5796" w:rsidRDefault="008E28A6" w:rsidP="00C44BB8">
            <w:pPr>
              <w:autoSpaceDE w:val="0"/>
              <w:autoSpaceDN w:val="0"/>
              <w:adjustRightInd w:val="0"/>
              <w:rPr>
                <w:rFonts w:cs="Calibri"/>
              </w:rPr>
            </w:pPr>
          </w:p>
          <w:p w14:paraId="77CEE8C0" w14:textId="77777777" w:rsidR="008E28A6" w:rsidRPr="004D5796" w:rsidRDefault="008E28A6" w:rsidP="00C44BB8">
            <w:pPr>
              <w:autoSpaceDE w:val="0"/>
              <w:autoSpaceDN w:val="0"/>
              <w:adjustRightInd w:val="0"/>
              <w:rPr>
                <w:rFonts w:cs="Calibri"/>
                <w:color w:val="131413"/>
                <w:lang w:val="en-US" w:eastAsia="en-US"/>
              </w:rPr>
            </w:pPr>
            <w:r w:rsidRPr="004D5796">
              <w:rPr>
                <w:rFonts w:cs="Calibri"/>
              </w:rPr>
              <w:t>In addition, the following prevalence data have been published for some Southern European countries: around 0.1% for Greece (</w:t>
            </w:r>
            <w:proofErr w:type="spellStart"/>
            <w:r w:rsidRPr="004D5796">
              <w:rPr>
                <w:rFonts w:cs="Calibri"/>
              </w:rPr>
              <w:t>Kassimos</w:t>
            </w:r>
            <w:proofErr w:type="spellEnd"/>
            <w:r w:rsidRPr="004D5796">
              <w:rPr>
                <w:rFonts w:cs="Calibri"/>
              </w:rPr>
              <w:t xml:space="preserve"> et al. </w:t>
            </w:r>
            <w:proofErr w:type="spellStart"/>
            <w:r w:rsidRPr="004D5796">
              <w:rPr>
                <w:rStyle w:val="jrnl"/>
                <w:rFonts w:cs="Calibri"/>
              </w:rPr>
              <w:t>Clin</w:t>
            </w:r>
            <w:proofErr w:type="spellEnd"/>
            <w:r w:rsidRPr="004D5796">
              <w:rPr>
                <w:rStyle w:val="jrnl"/>
                <w:rFonts w:cs="Calibri"/>
              </w:rPr>
              <w:t xml:space="preserve"> </w:t>
            </w:r>
            <w:proofErr w:type="spellStart"/>
            <w:r w:rsidRPr="004D5796">
              <w:rPr>
                <w:rStyle w:val="jrnl"/>
                <w:rFonts w:cs="Calibri"/>
              </w:rPr>
              <w:t>Rheumatol</w:t>
            </w:r>
            <w:proofErr w:type="spellEnd"/>
            <w:r w:rsidRPr="004D5796">
              <w:rPr>
                <w:rFonts w:cs="Calibri"/>
              </w:rPr>
              <w:t xml:space="preserve">. 2014 </w:t>
            </w:r>
            <w:r w:rsidRPr="004D5796">
              <w:rPr>
                <w:rFonts w:cs="Calibri"/>
              </w:rPr>
              <w:lastRenderedPageBreak/>
              <w:t>Sep</w:t>
            </w:r>
            <w:proofErr w:type="gramStart"/>
            <w:r w:rsidRPr="004D5796">
              <w:rPr>
                <w:rFonts w:cs="Calibri"/>
              </w:rPr>
              <w:t>;33</w:t>
            </w:r>
            <w:proofErr w:type="gramEnd"/>
            <w:r w:rsidRPr="004D5796">
              <w:rPr>
                <w:rFonts w:cs="Calibri"/>
              </w:rPr>
              <w:t>(9):1303-6.) and 0.37% in Italy (</w:t>
            </w:r>
            <w:r w:rsidRPr="004D5796">
              <w:rPr>
                <w:rFonts w:cs="Calibri"/>
                <w:color w:val="131413"/>
                <w:lang w:val="en-US" w:eastAsia="en-US"/>
              </w:rPr>
              <w:t xml:space="preserve">De Angelis R, </w:t>
            </w:r>
            <w:proofErr w:type="spellStart"/>
            <w:r w:rsidRPr="004D5796">
              <w:rPr>
                <w:rFonts w:cs="Calibri"/>
                <w:color w:val="131413"/>
                <w:lang w:val="en-US" w:eastAsia="en-US"/>
              </w:rPr>
              <w:t>Scand</w:t>
            </w:r>
            <w:proofErr w:type="spellEnd"/>
            <w:r w:rsidRPr="004D5796">
              <w:rPr>
                <w:rFonts w:cs="Calibri"/>
                <w:color w:val="131413"/>
                <w:lang w:val="en-US" w:eastAsia="en-US"/>
              </w:rPr>
              <w:t xml:space="preserve"> J </w:t>
            </w:r>
            <w:proofErr w:type="spellStart"/>
            <w:r w:rsidRPr="004D5796">
              <w:rPr>
                <w:rFonts w:cs="Calibri"/>
                <w:color w:val="131413"/>
                <w:lang w:val="en-US" w:eastAsia="en-US"/>
              </w:rPr>
              <w:t>Rheumatol</w:t>
            </w:r>
            <w:proofErr w:type="spellEnd"/>
            <w:r w:rsidRPr="004D5796">
              <w:rPr>
                <w:rFonts w:cs="Calibri"/>
                <w:color w:val="131413"/>
                <w:lang w:val="en-US" w:eastAsia="en-US"/>
              </w:rPr>
              <w:t xml:space="preserve"> [Research Support, Non-US Gov't].</w:t>
            </w:r>
          </w:p>
          <w:p w14:paraId="57C40064" w14:textId="77777777" w:rsidR="008E28A6" w:rsidRPr="004D5796" w:rsidRDefault="008E28A6" w:rsidP="00C44BB8">
            <w:pPr>
              <w:pStyle w:val="TabletextrowsAgency"/>
              <w:spacing w:line="240" w:lineRule="auto"/>
            </w:pPr>
            <w:r w:rsidRPr="004D5796">
              <w:rPr>
                <w:rFonts w:cs="Calibri"/>
                <w:color w:val="131413"/>
                <w:lang w:val="en-US" w:eastAsia="en-US"/>
              </w:rPr>
              <w:t>2007</w:t>
            </w:r>
            <w:proofErr w:type="gramStart"/>
            <w:r w:rsidRPr="004D5796">
              <w:rPr>
                <w:rFonts w:cs="Calibri"/>
                <w:color w:val="131413"/>
                <w:lang w:val="en-US" w:eastAsia="en-US"/>
              </w:rPr>
              <w:t>;36</w:t>
            </w:r>
            <w:proofErr w:type="gramEnd"/>
            <w:r w:rsidRPr="004D5796">
              <w:rPr>
                <w:rFonts w:cs="Calibri"/>
                <w:color w:val="131413"/>
                <w:lang w:val="en-US" w:eastAsia="en-US"/>
              </w:rPr>
              <w:t xml:space="preserve">(1):14–21.). </w:t>
            </w:r>
          </w:p>
          <w:p w14:paraId="154FD2E0" w14:textId="77777777" w:rsidR="008E28A6" w:rsidRPr="004D5796" w:rsidRDefault="008E28A6" w:rsidP="00C44BB8">
            <w:pPr>
              <w:pStyle w:val="TabletextrowsAgency"/>
              <w:spacing w:line="240" w:lineRule="auto"/>
            </w:pPr>
          </w:p>
          <w:p w14:paraId="325986FC" w14:textId="77777777" w:rsidR="008E28A6" w:rsidRPr="004D5796" w:rsidRDefault="008E28A6" w:rsidP="00C44BB8">
            <w:pPr>
              <w:pStyle w:val="TabletextrowsAgency"/>
              <w:spacing w:line="240" w:lineRule="auto"/>
            </w:pPr>
            <w:r w:rsidRPr="004D5796">
              <w:t xml:space="preserve">Proposed change (if any): change AS prevalence to at least up to 0.5% for Western Europe. </w:t>
            </w:r>
          </w:p>
        </w:tc>
        <w:tc>
          <w:tcPr>
            <w:tcW w:w="1537" w:type="pct"/>
            <w:shd w:val="clear" w:color="auto" w:fill="E1E3F2"/>
          </w:tcPr>
          <w:p w14:paraId="2F9C4073" w14:textId="77777777" w:rsidR="008E28A6" w:rsidRPr="004D5796" w:rsidRDefault="008E28A6" w:rsidP="00122857">
            <w:pPr>
              <w:pStyle w:val="TabletextrowsAgency"/>
            </w:pPr>
          </w:p>
        </w:tc>
      </w:tr>
      <w:tr w:rsidR="008E28A6" w:rsidRPr="004D5796" w14:paraId="1CD92F5D" w14:textId="77777777" w:rsidTr="00122857">
        <w:tc>
          <w:tcPr>
            <w:tcW w:w="645" w:type="pct"/>
            <w:shd w:val="clear" w:color="auto" w:fill="E1E3F2"/>
          </w:tcPr>
          <w:p w14:paraId="64E87091" w14:textId="77777777" w:rsidR="008E28A6" w:rsidRPr="004D5796" w:rsidRDefault="008E28A6" w:rsidP="00122857">
            <w:pPr>
              <w:pStyle w:val="TabletextrowsAgency"/>
            </w:pPr>
            <w:r w:rsidRPr="004D5796">
              <w:lastRenderedPageBreak/>
              <w:t>Additional information proposed for line 38</w:t>
            </w:r>
          </w:p>
        </w:tc>
        <w:tc>
          <w:tcPr>
            <w:tcW w:w="812" w:type="pct"/>
            <w:shd w:val="clear" w:color="auto" w:fill="E1E3F2"/>
          </w:tcPr>
          <w:p w14:paraId="44334EEE" w14:textId="77777777" w:rsidR="008E28A6" w:rsidRPr="004D5796" w:rsidRDefault="008E28A6" w:rsidP="00122857">
            <w:pPr>
              <w:pStyle w:val="TabletextrowsAgency"/>
            </w:pPr>
          </w:p>
        </w:tc>
        <w:tc>
          <w:tcPr>
            <w:tcW w:w="2006" w:type="pct"/>
            <w:shd w:val="clear" w:color="auto" w:fill="E1E3F2"/>
          </w:tcPr>
          <w:p w14:paraId="7F67DBA5" w14:textId="77777777" w:rsidR="008E28A6" w:rsidRPr="004D5796" w:rsidRDefault="008E28A6" w:rsidP="00C44BB8">
            <w:pPr>
              <w:pStyle w:val="TabletextrowsAgency"/>
              <w:spacing w:line="240" w:lineRule="auto"/>
            </w:pPr>
            <w:r w:rsidRPr="004D5796">
              <w:t xml:space="preserve">Comment: As this EMA guideline is for clinical investigation for the whole spectrum of axial </w:t>
            </w:r>
            <w:proofErr w:type="spellStart"/>
            <w:r w:rsidRPr="004D5796">
              <w:t>SpA</w:t>
            </w:r>
            <w:proofErr w:type="spellEnd"/>
            <w:r w:rsidRPr="004D5796">
              <w:t>, including nr-</w:t>
            </w:r>
            <w:proofErr w:type="spellStart"/>
            <w:r w:rsidRPr="004D5796">
              <w:t>axSpA</w:t>
            </w:r>
            <w:proofErr w:type="spellEnd"/>
            <w:r w:rsidRPr="004D5796">
              <w:t xml:space="preserve"> and AS, it would be appropriate to include prevalence data for axial </w:t>
            </w:r>
            <w:proofErr w:type="spellStart"/>
            <w:r w:rsidRPr="004D5796">
              <w:t>SpA</w:t>
            </w:r>
            <w:proofErr w:type="spellEnd"/>
            <w:r w:rsidR="003C06FC" w:rsidRPr="004D5796">
              <w:t xml:space="preserve">. </w:t>
            </w:r>
            <w:r w:rsidRPr="004D5796">
              <w:t>There are at least 2 published studies providing prevalence data on nr-</w:t>
            </w:r>
            <w:proofErr w:type="spellStart"/>
            <w:r w:rsidRPr="004D5796">
              <w:t>axSpA</w:t>
            </w:r>
            <w:proofErr w:type="spellEnd"/>
            <w:r w:rsidRPr="004D5796">
              <w:t xml:space="preserve"> (2 in the US and 2 in Europe): </w:t>
            </w:r>
          </w:p>
          <w:p w14:paraId="4E624B51" w14:textId="77777777" w:rsidR="008E28A6" w:rsidRPr="004D5796" w:rsidRDefault="008E28A6" w:rsidP="00C44BB8">
            <w:pPr>
              <w:pStyle w:val="TabletextrowsAgency"/>
              <w:spacing w:line="240" w:lineRule="auto"/>
            </w:pPr>
          </w:p>
          <w:p w14:paraId="2BF03E5D" w14:textId="77777777" w:rsidR="008E28A6" w:rsidRPr="004D5796" w:rsidRDefault="008E28A6" w:rsidP="00C44BB8">
            <w:pPr>
              <w:pStyle w:val="TabletextrowsAgency"/>
              <w:numPr>
                <w:ilvl w:val="0"/>
                <w:numId w:val="46"/>
              </w:numPr>
              <w:spacing w:line="240" w:lineRule="auto"/>
              <w:rPr>
                <w:rFonts w:cs="AdvOT0231c847"/>
                <w:lang w:val="en-US" w:eastAsia="en-US"/>
              </w:rPr>
            </w:pPr>
            <w:r w:rsidRPr="004D5796">
              <w:rPr>
                <w:rFonts w:cs="Minion Pro"/>
                <w:color w:val="211D1E"/>
              </w:rPr>
              <w:t xml:space="preserve">The French GAZEL cohort provided an overall prevalence estimate of </w:t>
            </w:r>
            <w:proofErr w:type="spellStart"/>
            <w:r w:rsidRPr="004D5796">
              <w:rPr>
                <w:rFonts w:cs="Minion Pro"/>
                <w:color w:val="211D1E"/>
              </w:rPr>
              <w:t>SpA</w:t>
            </w:r>
            <w:proofErr w:type="spellEnd"/>
            <w:r w:rsidRPr="004D5796">
              <w:rPr>
                <w:rFonts w:cs="Minion Pro"/>
                <w:color w:val="211D1E"/>
              </w:rPr>
              <w:t xml:space="preserve"> of 0.43%, of which 75% were patients who fulfilled the ASAS axial </w:t>
            </w:r>
            <w:proofErr w:type="spellStart"/>
            <w:r w:rsidRPr="004D5796">
              <w:rPr>
                <w:rFonts w:cs="Minion Pro"/>
                <w:color w:val="211D1E"/>
              </w:rPr>
              <w:t>SpA</w:t>
            </w:r>
            <w:proofErr w:type="spellEnd"/>
            <w:r w:rsidRPr="004D5796">
              <w:rPr>
                <w:rFonts w:cs="Minion Pro"/>
                <w:color w:val="211D1E"/>
              </w:rPr>
              <w:t xml:space="preserve"> criteria.</w:t>
            </w:r>
            <w:r w:rsidRPr="004D5796">
              <w:rPr>
                <w:rStyle w:val="A12"/>
                <w:sz w:val="18"/>
                <w:szCs w:val="18"/>
              </w:rPr>
              <w:t xml:space="preserve"> </w:t>
            </w:r>
            <w:r w:rsidRPr="004D5796">
              <w:rPr>
                <w:rFonts w:cs="Minion Pro"/>
                <w:color w:val="211D1E"/>
              </w:rPr>
              <w:t xml:space="preserve">Therefore, the prevalence of axial </w:t>
            </w:r>
            <w:proofErr w:type="spellStart"/>
            <w:r w:rsidRPr="004D5796">
              <w:rPr>
                <w:rFonts w:cs="Minion Pro"/>
                <w:color w:val="211D1E"/>
              </w:rPr>
              <w:t>SpA</w:t>
            </w:r>
            <w:proofErr w:type="spellEnd"/>
            <w:r w:rsidRPr="004D5796">
              <w:rPr>
                <w:rFonts w:cs="Minion Pro"/>
                <w:color w:val="211D1E"/>
              </w:rPr>
              <w:t xml:space="preserve"> is approximately 0.32% in this French population. (</w:t>
            </w:r>
            <w:r w:rsidRPr="004D5796">
              <w:rPr>
                <w:rFonts w:cs="AdvOT0231c847"/>
                <w:lang w:val="en-US" w:eastAsia="en-US"/>
              </w:rPr>
              <w:t xml:space="preserve">Costantino F, </w:t>
            </w:r>
            <w:r w:rsidRPr="004D5796">
              <w:rPr>
                <w:rFonts w:cs="AdvOTbe4cb9cb"/>
                <w:lang w:val="en-US" w:eastAsia="en-US"/>
              </w:rPr>
              <w:t>et al</w:t>
            </w:r>
            <w:r w:rsidRPr="004D5796">
              <w:rPr>
                <w:rFonts w:cs="AdvOT0231c847"/>
                <w:lang w:val="en-US" w:eastAsia="en-US"/>
              </w:rPr>
              <w:t xml:space="preserve">. </w:t>
            </w:r>
            <w:r w:rsidRPr="004D5796">
              <w:rPr>
                <w:rFonts w:cs="AdvOTbe4cb9cb"/>
                <w:lang w:val="en-US" w:eastAsia="en-US"/>
              </w:rPr>
              <w:t xml:space="preserve">Ann Rheum Dis </w:t>
            </w:r>
            <w:r w:rsidRPr="004D5796">
              <w:rPr>
                <w:rFonts w:cs="AdvOT0231c847"/>
                <w:lang w:val="en-US" w:eastAsia="en-US"/>
              </w:rPr>
              <w:t>2015</w:t>
            </w:r>
            <w:proofErr w:type="gramStart"/>
            <w:r w:rsidRPr="004D5796">
              <w:rPr>
                <w:rFonts w:cs="AdvOT0231c847"/>
                <w:lang w:val="en-US" w:eastAsia="en-US"/>
              </w:rPr>
              <w:t>;</w:t>
            </w:r>
            <w:r w:rsidRPr="004D5796">
              <w:rPr>
                <w:rFonts w:cs="AdvOTc9c0ed35.B"/>
                <w:lang w:val="en-US" w:eastAsia="en-US"/>
              </w:rPr>
              <w:t>74</w:t>
            </w:r>
            <w:r w:rsidRPr="004D5796">
              <w:rPr>
                <w:rFonts w:cs="AdvOT0231c847"/>
                <w:lang w:val="en-US" w:eastAsia="en-US"/>
              </w:rPr>
              <w:t>:689</w:t>
            </w:r>
            <w:proofErr w:type="gramEnd"/>
            <w:r w:rsidRPr="004D5796">
              <w:rPr>
                <w:rFonts w:cs="AdvOT0231c847+20"/>
                <w:lang w:val="en-US" w:eastAsia="en-US"/>
              </w:rPr>
              <w:t>–</w:t>
            </w:r>
            <w:r w:rsidRPr="004D5796">
              <w:rPr>
                <w:rFonts w:cs="AdvOT0231c847"/>
                <w:lang w:val="en-US" w:eastAsia="en-US"/>
              </w:rPr>
              <w:t>693)</w:t>
            </w:r>
          </w:p>
          <w:p w14:paraId="3A954AC1" w14:textId="77777777" w:rsidR="008E28A6" w:rsidRPr="004D5796" w:rsidRDefault="008E28A6" w:rsidP="00C44BB8">
            <w:pPr>
              <w:pStyle w:val="TabletextrowsAgency"/>
              <w:spacing w:line="240" w:lineRule="auto"/>
              <w:rPr>
                <w:rFonts w:cs="AdvOT0231c847"/>
                <w:lang w:val="en-US" w:eastAsia="en-US"/>
              </w:rPr>
            </w:pPr>
          </w:p>
          <w:p w14:paraId="0C61A735" w14:textId="77777777" w:rsidR="008E28A6" w:rsidRPr="004D5796" w:rsidRDefault="008E28A6" w:rsidP="00C44BB8">
            <w:pPr>
              <w:pStyle w:val="TabletextrowsAgency"/>
              <w:numPr>
                <w:ilvl w:val="0"/>
                <w:numId w:val="46"/>
              </w:numPr>
              <w:spacing w:line="240" w:lineRule="auto"/>
              <w:rPr>
                <w:lang w:val="en-US"/>
              </w:rPr>
            </w:pPr>
            <w:r w:rsidRPr="004D5796">
              <w:rPr>
                <w:rFonts w:cs="Minion Pro"/>
                <w:color w:val="211D1E"/>
              </w:rPr>
              <w:t xml:space="preserve">In a Norwegian study, the total prevalence of undiagnosed axial </w:t>
            </w:r>
            <w:proofErr w:type="spellStart"/>
            <w:r w:rsidRPr="004D5796">
              <w:rPr>
                <w:rFonts w:cs="Minion Pro"/>
                <w:color w:val="211D1E"/>
              </w:rPr>
              <w:t>SpA</w:t>
            </w:r>
            <w:proofErr w:type="spellEnd"/>
            <w:r w:rsidRPr="004D5796">
              <w:rPr>
                <w:rFonts w:cs="Minion Pro"/>
                <w:color w:val="211D1E"/>
              </w:rPr>
              <w:t xml:space="preserve"> was estimated to be 0.13%. The background prevalence of AS in this region was 0.4%, which combined with undiagnosed axial </w:t>
            </w:r>
            <w:proofErr w:type="spellStart"/>
            <w:r w:rsidRPr="004D5796">
              <w:rPr>
                <w:rFonts w:cs="Minion Pro"/>
                <w:color w:val="211D1E"/>
              </w:rPr>
              <w:t>SpA</w:t>
            </w:r>
            <w:proofErr w:type="spellEnd"/>
            <w:r w:rsidRPr="004D5796">
              <w:rPr>
                <w:rFonts w:cs="Minion Pro"/>
                <w:color w:val="211D1E"/>
              </w:rPr>
              <w:t xml:space="preserve"> gives a total prevalence of axial </w:t>
            </w:r>
            <w:proofErr w:type="spellStart"/>
            <w:r w:rsidRPr="004D5796">
              <w:rPr>
                <w:rFonts w:cs="Minion Pro"/>
                <w:color w:val="211D1E"/>
              </w:rPr>
              <w:t>SpA</w:t>
            </w:r>
            <w:proofErr w:type="spellEnd"/>
            <w:r w:rsidRPr="004D5796">
              <w:rPr>
                <w:rFonts w:cs="Minion Pro"/>
                <w:color w:val="211D1E"/>
              </w:rPr>
              <w:t xml:space="preserve"> in this population of 0.53% (an increase of ~20%). </w:t>
            </w:r>
            <w:proofErr w:type="spellStart"/>
            <w:r w:rsidRPr="004D5796">
              <w:rPr>
                <w:rFonts w:cs="Minion Pro"/>
                <w:color w:val="211D1E"/>
              </w:rPr>
              <w:t>Bakland</w:t>
            </w:r>
            <w:proofErr w:type="spellEnd"/>
            <w:r w:rsidRPr="004D5796">
              <w:rPr>
                <w:rFonts w:cs="Minion Pro"/>
                <w:color w:val="211D1E"/>
              </w:rPr>
              <w:t xml:space="preserve"> et al. </w:t>
            </w:r>
            <w:r w:rsidRPr="004D5796">
              <w:rPr>
                <w:rFonts w:cs="ITC Franklin Gothic Std Book"/>
                <w:i/>
                <w:iCs/>
                <w:color w:val="211D1E"/>
              </w:rPr>
              <w:t xml:space="preserve">Arthritis Care Res. (Hoboken) </w:t>
            </w:r>
            <w:r w:rsidRPr="004D5796">
              <w:rPr>
                <w:rFonts w:cs="ITC Franklin Gothic Std Med"/>
                <w:color w:val="211D1E"/>
              </w:rPr>
              <w:t>65</w:t>
            </w:r>
            <w:r w:rsidRPr="004D5796">
              <w:rPr>
                <w:rFonts w:cs="ITC Franklin Gothic Std Book"/>
                <w:color w:val="211D1E"/>
              </w:rPr>
              <w:t>, 448–453 (2013)).</w:t>
            </w:r>
          </w:p>
          <w:p w14:paraId="19584E9C" w14:textId="77777777" w:rsidR="008E28A6" w:rsidRPr="004D5796" w:rsidRDefault="008E28A6" w:rsidP="00C44BB8">
            <w:pPr>
              <w:pStyle w:val="TabletextrowsAgency"/>
              <w:spacing w:line="240" w:lineRule="auto"/>
            </w:pPr>
          </w:p>
          <w:p w14:paraId="6BCC6C8B" w14:textId="77777777" w:rsidR="008E28A6" w:rsidRPr="004D5796" w:rsidRDefault="008E28A6" w:rsidP="00C44BB8">
            <w:pPr>
              <w:pStyle w:val="TabletextrowsAgency"/>
              <w:spacing w:line="240" w:lineRule="auto"/>
            </w:pPr>
            <w:r w:rsidRPr="004D5796">
              <w:t>Proposed change: Although prevalence data specifically for nr-</w:t>
            </w:r>
            <w:proofErr w:type="spellStart"/>
            <w:r w:rsidRPr="004D5796">
              <w:t>axSpA</w:t>
            </w:r>
            <w:proofErr w:type="spellEnd"/>
            <w:r w:rsidRPr="004D5796">
              <w:t xml:space="preserve"> are limited for European cohorts, existing data suggest that the prevalence of axial </w:t>
            </w:r>
            <w:proofErr w:type="spellStart"/>
            <w:r w:rsidRPr="004D5796">
              <w:t>SpA</w:t>
            </w:r>
            <w:proofErr w:type="spellEnd"/>
            <w:r w:rsidRPr="004D5796">
              <w:t xml:space="preserve"> (includes AS and nr-</w:t>
            </w:r>
            <w:proofErr w:type="spellStart"/>
            <w:r w:rsidRPr="004D5796">
              <w:t>axSpA</w:t>
            </w:r>
            <w:proofErr w:type="spellEnd"/>
            <w:r w:rsidRPr="004D5796">
              <w:t>) is estimated to be 0.3-0.5%.</w:t>
            </w:r>
          </w:p>
        </w:tc>
        <w:tc>
          <w:tcPr>
            <w:tcW w:w="1537" w:type="pct"/>
            <w:shd w:val="clear" w:color="auto" w:fill="E1E3F2"/>
          </w:tcPr>
          <w:p w14:paraId="1C6D0157" w14:textId="77777777" w:rsidR="008E28A6" w:rsidRPr="004D5796" w:rsidRDefault="008E28A6" w:rsidP="00122857">
            <w:pPr>
              <w:pStyle w:val="TabletextrowsAgency"/>
            </w:pPr>
          </w:p>
        </w:tc>
      </w:tr>
      <w:tr w:rsidR="008E28A6" w:rsidRPr="004D5796" w14:paraId="63F1D236" w14:textId="77777777" w:rsidTr="00122857">
        <w:tc>
          <w:tcPr>
            <w:tcW w:w="645" w:type="pct"/>
            <w:shd w:val="clear" w:color="auto" w:fill="E1E3F2"/>
          </w:tcPr>
          <w:p w14:paraId="52FAC492" w14:textId="77777777" w:rsidR="008E28A6" w:rsidRPr="004D5796" w:rsidRDefault="008E28A6" w:rsidP="00122857">
            <w:pPr>
              <w:pStyle w:val="TabletextrowsAgency"/>
            </w:pPr>
            <w:r w:rsidRPr="004D5796">
              <w:t>Line 39</w:t>
            </w:r>
          </w:p>
        </w:tc>
        <w:tc>
          <w:tcPr>
            <w:tcW w:w="812" w:type="pct"/>
            <w:shd w:val="clear" w:color="auto" w:fill="E1E3F2"/>
          </w:tcPr>
          <w:p w14:paraId="7954014F" w14:textId="77777777" w:rsidR="008E28A6" w:rsidRPr="004D5796" w:rsidRDefault="008E28A6" w:rsidP="00122857">
            <w:pPr>
              <w:pStyle w:val="TabletextrowsAgency"/>
            </w:pPr>
          </w:p>
        </w:tc>
        <w:tc>
          <w:tcPr>
            <w:tcW w:w="2006" w:type="pct"/>
            <w:shd w:val="clear" w:color="auto" w:fill="E1E3F2"/>
          </w:tcPr>
          <w:p w14:paraId="26C31F99" w14:textId="77777777" w:rsidR="00843AF6" w:rsidRPr="009B114D" w:rsidRDefault="008E28A6" w:rsidP="00C44BB8">
            <w:pPr>
              <w:autoSpaceDE w:val="0"/>
              <w:autoSpaceDN w:val="0"/>
              <w:adjustRightInd w:val="0"/>
            </w:pPr>
            <w:r w:rsidRPr="004D5796">
              <w:t xml:space="preserve">Comment: it is stated that AS is more prevalent in males, </w:t>
            </w:r>
            <w:r w:rsidRPr="004D5796">
              <w:lastRenderedPageBreak/>
              <w:t xml:space="preserve">however as patient diagnosis has improved over the years </w:t>
            </w:r>
            <w:proofErr w:type="gramStart"/>
            <w:r w:rsidRPr="004D5796">
              <w:t>the  male</w:t>
            </w:r>
            <w:proofErr w:type="gramEnd"/>
            <w:r w:rsidRPr="004D5796">
              <w:t xml:space="preserve"> to female ratio has become approximately equal</w:t>
            </w:r>
            <w:r w:rsidR="00261440">
              <w:t xml:space="preserve"> in nr-</w:t>
            </w:r>
            <w:proofErr w:type="spellStart"/>
            <w:r w:rsidR="00261440">
              <w:t>axSpA</w:t>
            </w:r>
            <w:proofErr w:type="spellEnd"/>
            <w:r w:rsidR="00261440">
              <w:t xml:space="preserve"> which affects the overall gender distribution in the whole </w:t>
            </w:r>
            <w:proofErr w:type="spellStart"/>
            <w:r w:rsidR="00261440">
              <w:t>axSpA</w:t>
            </w:r>
            <w:proofErr w:type="spellEnd"/>
            <w:r w:rsidR="00261440">
              <w:t xml:space="preserve"> population</w:t>
            </w:r>
            <w:r w:rsidR="00843AF6">
              <w:t xml:space="preserve"> (</w:t>
            </w:r>
            <w:proofErr w:type="spellStart"/>
            <w:r w:rsidR="00843AF6">
              <w:t>Feldtkeller</w:t>
            </w:r>
            <w:proofErr w:type="spellEnd"/>
            <w:r w:rsidR="00843AF6">
              <w:t xml:space="preserve"> et al</w:t>
            </w:r>
            <w:r w:rsidR="009B114D">
              <w:t xml:space="preserve">., </w:t>
            </w:r>
            <w:proofErr w:type="spellStart"/>
            <w:r w:rsidR="00843AF6" w:rsidRPr="009B114D">
              <w:t>Curr</w:t>
            </w:r>
            <w:proofErr w:type="spellEnd"/>
            <w:r w:rsidR="00843AF6" w:rsidRPr="009B114D">
              <w:t xml:space="preserve"> </w:t>
            </w:r>
            <w:proofErr w:type="spellStart"/>
            <w:r w:rsidR="00843AF6" w:rsidRPr="009B114D">
              <w:t>Opin</w:t>
            </w:r>
            <w:proofErr w:type="spellEnd"/>
          </w:p>
          <w:p w14:paraId="269FF9A4" w14:textId="77777777" w:rsidR="008E28A6" w:rsidRPr="004D5796" w:rsidRDefault="00843AF6" w:rsidP="00C44BB8">
            <w:pPr>
              <w:autoSpaceDE w:val="0"/>
              <w:autoSpaceDN w:val="0"/>
              <w:adjustRightInd w:val="0"/>
            </w:pPr>
            <w:proofErr w:type="spellStart"/>
            <w:r w:rsidRPr="009B114D">
              <w:t>Rheumatol</w:t>
            </w:r>
            <w:proofErr w:type="spellEnd"/>
            <w:r w:rsidRPr="009B114D">
              <w:t xml:space="preserve"> 2000, 12:239–247)</w:t>
            </w:r>
            <w:r w:rsidR="008E28A6" w:rsidRPr="004D5796">
              <w:t xml:space="preserve">.  </w:t>
            </w:r>
          </w:p>
          <w:p w14:paraId="6238BFE0" w14:textId="77777777" w:rsidR="008E28A6" w:rsidRPr="004D5796" w:rsidRDefault="008E28A6" w:rsidP="00C44BB8">
            <w:pPr>
              <w:pStyle w:val="TabletextrowsAgency"/>
              <w:spacing w:line="240" w:lineRule="auto"/>
            </w:pPr>
          </w:p>
          <w:p w14:paraId="3625D02A" w14:textId="77777777" w:rsidR="008E28A6" w:rsidRPr="004D5796" w:rsidRDefault="008E28A6" w:rsidP="00C44BB8">
            <w:pPr>
              <w:pStyle w:val="TabletextrowsAgency"/>
              <w:spacing w:line="240" w:lineRule="auto"/>
            </w:pPr>
            <w:r w:rsidRPr="004D5796">
              <w:t xml:space="preserve">Proposed change: Update male to female ratio for </w:t>
            </w:r>
            <w:proofErr w:type="spellStart"/>
            <w:r w:rsidR="00261440">
              <w:t>axSpA</w:t>
            </w:r>
            <w:proofErr w:type="spellEnd"/>
            <w:r w:rsidRPr="004D5796">
              <w:t xml:space="preserve"> </w:t>
            </w:r>
          </w:p>
        </w:tc>
        <w:tc>
          <w:tcPr>
            <w:tcW w:w="1537" w:type="pct"/>
            <w:shd w:val="clear" w:color="auto" w:fill="E1E3F2"/>
          </w:tcPr>
          <w:p w14:paraId="63AFA24A" w14:textId="77777777" w:rsidR="008E28A6" w:rsidRPr="004D5796" w:rsidRDefault="008E28A6" w:rsidP="00122857">
            <w:pPr>
              <w:pStyle w:val="TabletextrowsAgency"/>
            </w:pPr>
          </w:p>
        </w:tc>
      </w:tr>
      <w:tr w:rsidR="008E28A6" w:rsidRPr="004D5796" w14:paraId="243D3E6C" w14:textId="77777777" w:rsidTr="00122857">
        <w:tc>
          <w:tcPr>
            <w:tcW w:w="645" w:type="pct"/>
            <w:shd w:val="clear" w:color="auto" w:fill="E1E3F2"/>
          </w:tcPr>
          <w:p w14:paraId="4F1A5FF2" w14:textId="77777777" w:rsidR="008E28A6" w:rsidRPr="004D5796" w:rsidRDefault="008E28A6" w:rsidP="00122857">
            <w:pPr>
              <w:pStyle w:val="TabletextrowsAgency"/>
            </w:pPr>
            <w:r w:rsidRPr="004D5796">
              <w:lastRenderedPageBreak/>
              <w:t>Lines 42-43</w:t>
            </w:r>
          </w:p>
        </w:tc>
        <w:tc>
          <w:tcPr>
            <w:tcW w:w="812" w:type="pct"/>
            <w:shd w:val="clear" w:color="auto" w:fill="E1E3F2"/>
          </w:tcPr>
          <w:p w14:paraId="41DFAA32" w14:textId="77777777" w:rsidR="008E28A6" w:rsidRPr="004D5796" w:rsidRDefault="008E28A6" w:rsidP="003C06FC">
            <w:pPr>
              <w:pStyle w:val="TabletextrowsAgency"/>
            </w:pPr>
          </w:p>
        </w:tc>
        <w:tc>
          <w:tcPr>
            <w:tcW w:w="2006" w:type="pct"/>
            <w:shd w:val="clear" w:color="auto" w:fill="E1E3F2"/>
          </w:tcPr>
          <w:p w14:paraId="3C910D7E" w14:textId="77777777" w:rsidR="008E28A6" w:rsidRPr="004D5796" w:rsidRDefault="008E28A6" w:rsidP="00C44BB8">
            <w:pPr>
              <w:pStyle w:val="TabletextrowsAgency"/>
              <w:spacing w:line="240" w:lineRule="auto"/>
            </w:pPr>
            <w:r w:rsidRPr="004D5796">
              <w:t xml:space="preserve">Comment: “maybe” is underestimating the burden of disease in terms of </w:t>
            </w:r>
            <w:proofErr w:type="spellStart"/>
            <w:r w:rsidRPr="004D5796">
              <w:t>extraarticular</w:t>
            </w:r>
            <w:proofErr w:type="spellEnd"/>
            <w:r w:rsidRPr="004D5796">
              <w:t xml:space="preserve"> manifestations in </w:t>
            </w:r>
            <w:proofErr w:type="spellStart"/>
            <w:r w:rsidRPr="004D5796">
              <w:t>axSpA</w:t>
            </w:r>
            <w:proofErr w:type="spellEnd"/>
            <w:r w:rsidRPr="004D5796">
              <w:t xml:space="preserve">. According to published literature, AS patients can have </w:t>
            </w:r>
            <w:proofErr w:type="spellStart"/>
            <w:r w:rsidRPr="004D5796">
              <w:t>extraarticular</w:t>
            </w:r>
            <w:proofErr w:type="spellEnd"/>
            <w:r w:rsidRPr="004D5796">
              <w:t xml:space="preserve"> manifestations which adds to their overall disease burden in about 25% for uveitis, up to about 10% for psoriasis and up to about 7% for inflammatory bowel disease (</w:t>
            </w:r>
            <w:proofErr w:type="spellStart"/>
            <w:r w:rsidRPr="004D5796">
              <w:rPr>
                <w:rFonts w:cs="AdvOT0231c847"/>
                <w:lang w:val="en-US" w:eastAsia="en-US"/>
              </w:rPr>
              <w:t>Stolwijk</w:t>
            </w:r>
            <w:proofErr w:type="spellEnd"/>
            <w:r w:rsidRPr="004D5796">
              <w:rPr>
                <w:rFonts w:cs="AdvOT0231c847"/>
                <w:lang w:val="en-US" w:eastAsia="en-US"/>
              </w:rPr>
              <w:t xml:space="preserve"> C, </w:t>
            </w:r>
            <w:r w:rsidRPr="004D5796">
              <w:rPr>
                <w:rFonts w:cs="AdvOTbe4cb9cb"/>
                <w:lang w:val="en-US" w:eastAsia="en-US"/>
              </w:rPr>
              <w:t>et al</w:t>
            </w:r>
            <w:r w:rsidRPr="004D5796">
              <w:rPr>
                <w:rFonts w:cs="AdvOT0231c847"/>
                <w:lang w:val="en-US" w:eastAsia="en-US"/>
              </w:rPr>
              <w:t xml:space="preserve">. </w:t>
            </w:r>
            <w:r w:rsidRPr="004D5796">
              <w:rPr>
                <w:rFonts w:cs="AdvOTbe4cb9cb"/>
                <w:lang w:val="en-US" w:eastAsia="en-US"/>
              </w:rPr>
              <w:t xml:space="preserve">Ann Rheum Dis </w:t>
            </w:r>
            <w:r w:rsidRPr="004D5796">
              <w:rPr>
                <w:rFonts w:cs="AdvOT0231c847"/>
                <w:lang w:val="en-US" w:eastAsia="en-US"/>
              </w:rPr>
              <w:t>2015</w:t>
            </w:r>
            <w:proofErr w:type="gramStart"/>
            <w:r w:rsidRPr="004D5796">
              <w:rPr>
                <w:rFonts w:cs="AdvOT0231c847"/>
                <w:lang w:val="en-US" w:eastAsia="en-US"/>
              </w:rPr>
              <w:t>;</w:t>
            </w:r>
            <w:r w:rsidRPr="004D5796">
              <w:rPr>
                <w:rFonts w:cs="AdvOTc9c0ed35.B"/>
                <w:lang w:val="en-US" w:eastAsia="en-US"/>
              </w:rPr>
              <w:t>74</w:t>
            </w:r>
            <w:r w:rsidRPr="004D5796">
              <w:rPr>
                <w:rFonts w:cs="AdvOT0231c847"/>
                <w:lang w:val="en-US" w:eastAsia="en-US"/>
              </w:rPr>
              <w:t>:65</w:t>
            </w:r>
            <w:proofErr w:type="gramEnd"/>
            <w:r w:rsidRPr="004D5796">
              <w:rPr>
                <w:rFonts w:cs="AdvOT0231c847+20"/>
                <w:lang w:val="en-US" w:eastAsia="en-US"/>
              </w:rPr>
              <w:t>–</w:t>
            </w:r>
            <w:r w:rsidRPr="004D5796">
              <w:rPr>
                <w:rFonts w:cs="AdvOT0231c847"/>
                <w:lang w:val="en-US" w:eastAsia="en-US"/>
              </w:rPr>
              <w:t xml:space="preserve">73; </w:t>
            </w:r>
            <w:proofErr w:type="spellStart"/>
            <w:r w:rsidRPr="004D5796">
              <w:rPr>
                <w:rFonts w:cs="AdvOT0231c847"/>
                <w:lang w:val="de-DE" w:eastAsia="en-US"/>
              </w:rPr>
              <w:t>Vander</w:t>
            </w:r>
            <w:proofErr w:type="spellEnd"/>
            <w:r w:rsidRPr="004D5796">
              <w:rPr>
                <w:rFonts w:cs="AdvOT0231c847"/>
                <w:lang w:val="de-DE" w:eastAsia="en-US"/>
              </w:rPr>
              <w:t xml:space="preserve"> </w:t>
            </w:r>
            <w:proofErr w:type="spellStart"/>
            <w:r w:rsidRPr="004D5796">
              <w:rPr>
                <w:rFonts w:cs="AdvOT0231c847"/>
                <w:lang w:val="de-DE" w:eastAsia="en-US"/>
              </w:rPr>
              <w:t>Cruyssen</w:t>
            </w:r>
            <w:proofErr w:type="spellEnd"/>
            <w:r w:rsidRPr="004D5796">
              <w:rPr>
                <w:rFonts w:cs="AdvOT0231c847"/>
                <w:lang w:val="de-DE" w:eastAsia="en-US"/>
              </w:rPr>
              <w:t xml:space="preserve"> B. et al. Ann </w:t>
            </w:r>
            <w:proofErr w:type="spellStart"/>
            <w:r w:rsidRPr="004D5796">
              <w:rPr>
                <w:rFonts w:cs="AdvOT0231c847"/>
                <w:lang w:val="de-DE" w:eastAsia="en-US"/>
              </w:rPr>
              <w:t>Rheum</w:t>
            </w:r>
            <w:proofErr w:type="spellEnd"/>
            <w:r w:rsidRPr="004D5796">
              <w:rPr>
                <w:rFonts w:cs="AdvOT0231c847"/>
                <w:lang w:val="de-DE" w:eastAsia="en-US"/>
              </w:rPr>
              <w:t xml:space="preserve"> Dis 2007;66:1072-7</w:t>
            </w:r>
            <w:r w:rsidRPr="004D5796">
              <w:rPr>
                <w:rFonts w:cs="AdvOT0231c847"/>
                <w:lang w:val="en-US" w:eastAsia="en-US"/>
              </w:rPr>
              <w:t xml:space="preserve">). </w:t>
            </w:r>
          </w:p>
          <w:p w14:paraId="23BF5FA2" w14:textId="77777777" w:rsidR="008E28A6" w:rsidRPr="004D5796" w:rsidRDefault="008E28A6" w:rsidP="00C44BB8">
            <w:pPr>
              <w:pStyle w:val="TabletextrowsAgency"/>
              <w:spacing w:line="240" w:lineRule="auto"/>
            </w:pPr>
          </w:p>
          <w:p w14:paraId="7FC4A0EA" w14:textId="77777777" w:rsidR="008E28A6" w:rsidRPr="004D5796" w:rsidRDefault="008E28A6" w:rsidP="00C44BB8">
            <w:pPr>
              <w:pStyle w:val="TabletextrowsAgency"/>
              <w:spacing w:line="240" w:lineRule="auto"/>
            </w:pPr>
            <w:r w:rsidRPr="004D5796">
              <w:t xml:space="preserve">Proposed </w:t>
            </w:r>
            <w:proofErr w:type="gramStart"/>
            <w:r w:rsidRPr="004D5796">
              <w:t>change :</w:t>
            </w:r>
            <w:proofErr w:type="gramEnd"/>
            <w:r w:rsidRPr="004D5796">
              <w:t xml:space="preserve"> “Further</w:t>
            </w:r>
            <w:r w:rsidR="00C07F57">
              <w:t>,</w:t>
            </w:r>
            <w:r w:rsidR="007672F2">
              <w:t xml:space="preserve"> </w:t>
            </w:r>
            <w:r w:rsidRPr="004D5796">
              <w:t xml:space="preserve">peripheral joints </w:t>
            </w:r>
            <w:r w:rsidR="001E118E" w:rsidRPr="004D5796">
              <w:t>a</w:t>
            </w:r>
            <w:r w:rsidR="001E118E">
              <w:t>s well as</w:t>
            </w:r>
            <w:r w:rsidR="001E118E" w:rsidRPr="004D5796">
              <w:t xml:space="preserve"> </w:t>
            </w:r>
            <w:r w:rsidRPr="004D5796">
              <w:t>extra</w:t>
            </w:r>
            <w:r w:rsidR="001E118E">
              <w:t>-</w:t>
            </w:r>
            <w:r w:rsidRPr="004D5796">
              <w:t xml:space="preserve">articular </w:t>
            </w:r>
            <w:r w:rsidR="00453194">
              <w:t xml:space="preserve">tissues </w:t>
            </w:r>
            <w:r w:rsidRPr="004D5796">
              <w:t xml:space="preserve">such as </w:t>
            </w:r>
            <w:proofErr w:type="spellStart"/>
            <w:r w:rsidR="00123ED2">
              <w:t>entheses</w:t>
            </w:r>
            <w:proofErr w:type="spellEnd"/>
            <w:r w:rsidR="00123ED2">
              <w:t xml:space="preserve">, </w:t>
            </w:r>
            <w:r w:rsidRPr="004D5796">
              <w:t xml:space="preserve">the anterior uvea, skin (psoriasis), gut (inflammatory bowel disease) </w:t>
            </w:r>
            <w:r w:rsidRPr="004D5796">
              <w:rPr>
                <w:b/>
              </w:rPr>
              <w:t>are</w:t>
            </w:r>
            <w:r w:rsidRPr="004D5796">
              <w:t xml:space="preserve"> involved in up to 26% (uveitis), 9% (psoriasis) and 7% (IBD)</w:t>
            </w:r>
            <w:r w:rsidR="00C07F57">
              <w:t xml:space="preserve"> in patients with </w:t>
            </w:r>
            <w:proofErr w:type="spellStart"/>
            <w:r w:rsidR="00C07F57">
              <w:t>axSpA</w:t>
            </w:r>
            <w:proofErr w:type="spellEnd"/>
            <w:r w:rsidR="00C07F57">
              <w:t>.</w:t>
            </w:r>
            <w:r w:rsidRPr="004D5796">
              <w:t>”</w:t>
            </w:r>
          </w:p>
          <w:p w14:paraId="355E33C2" w14:textId="77777777" w:rsidR="008E28A6" w:rsidRPr="004D5796" w:rsidRDefault="008E28A6" w:rsidP="00C44BB8">
            <w:pPr>
              <w:pStyle w:val="TabletextrowsAgency"/>
              <w:spacing w:line="240" w:lineRule="auto"/>
            </w:pPr>
          </w:p>
          <w:p w14:paraId="79F471F7" w14:textId="77777777" w:rsidR="008E28A6" w:rsidRDefault="008E28A6" w:rsidP="00C44BB8">
            <w:pPr>
              <w:pStyle w:val="TabletextrowsAgency"/>
              <w:spacing w:line="240" w:lineRule="auto"/>
            </w:pPr>
            <w:r w:rsidRPr="004D5796">
              <w:t xml:space="preserve">Alternatively, please change the word “maybe” to “may be” as the statement is still </w:t>
            </w:r>
            <w:proofErr w:type="gramStart"/>
            <w:r w:rsidRPr="004D5796">
              <w:t>correct</w:t>
            </w:r>
            <w:proofErr w:type="gramEnd"/>
            <w:r w:rsidRPr="004D5796">
              <w:t xml:space="preserve"> as each patient may not necessarily have involvement of all of these anatomical structures.</w:t>
            </w:r>
          </w:p>
          <w:p w14:paraId="31C4FE6D" w14:textId="77777777" w:rsidR="006C04DD" w:rsidRDefault="006C04DD" w:rsidP="00C44BB8">
            <w:pPr>
              <w:pStyle w:val="TabletextrowsAgency"/>
              <w:spacing w:line="240" w:lineRule="auto"/>
            </w:pPr>
          </w:p>
          <w:p w14:paraId="6D617270" w14:textId="77777777" w:rsidR="006C04DD" w:rsidRDefault="006C04DD" w:rsidP="00C44BB8">
            <w:pPr>
              <w:pStyle w:val="TabletextrowsAgency"/>
              <w:spacing w:line="240" w:lineRule="auto"/>
            </w:pPr>
            <w:r>
              <w:t xml:space="preserve">The following should be added after the last sentence on Line 84: “The </w:t>
            </w:r>
            <w:r w:rsidRPr="004A60E0">
              <w:t>future guideline</w:t>
            </w:r>
            <w:r>
              <w:t xml:space="preserve"> should discuss </w:t>
            </w:r>
            <w:r w:rsidR="001E118E">
              <w:t>the importance of</w:t>
            </w:r>
            <w:r>
              <w:t xml:space="preserve"> extra-articular manifestations (in addition to signs and symptoms</w:t>
            </w:r>
            <w:r w:rsidR="00C07F57">
              <w:t xml:space="preserve"> of </w:t>
            </w:r>
            <w:proofErr w:type="spellStart"/>
            <w:r w:rsidR="00C07F57">
              <w:t>axSpA</w:t>
            </w:r>
            <w:proofErr w:type="spellEnd"/>
            <w:r>
              <w:t xml:space="preserve">) which should allow for specific optional claims to be made in Section 5.1 of the </w:t>
            </w:r>
            <w:proofErr w:type="spellStart"/>
            <w:r>
              <w:t>SmPC</w:t>
            </w:r>
            <w:proofErr w:type="spellEnd"/>
            <w:r>
              <w:t xml:space="preserve"> (</w:t>
            </w:r>
            <w:proofErr w:type="spellStart"/>
            <w:r>
              <w:t>ie</w:t>
            </w:r>
            <w:proofErr w:type="spellEnd"/>
            <w:r>
              <w:t xml:space="preserve"> not a requirement for registration).</w:t>
            </w:r>
            <w:r w:rsidR="001E118E">
              <w:t xml:space="preserve"> However, given the current lack of consensus on outcome measures, these will need to be </w:t>
            </w:r>
            <w:r w:rsidR="001E118E">
              <w:lastRenderedPageBreak/>
              <w:t>justified by the applicant.</w:t>
            </w:r>
            <w:r>
              <w:t>”</w:t>
            </w:r>
          </w:p>
          <w:p w14:paraId="4E702088" w14:textId="77777777" w:rsidR="006C04DD" w:rsidRPr="004D5796" w:rsidRDefault="006C04DD" w:rsidP="00C44BB8">
            <w:pPr>
              <w:pStyle w:val="TabletextrowsAgency"/>
              <w:spacing w:line="240" w:lineRule="auto"/>
            </w:pPr>
          </w:p>
        </w:tc>
        <w:tc>
          <w:tcPr>
            <w:tcW w:w="1537" w:type="pct"/>
            <w:shd w:val="clear" w:color="auto" w:fill="E1E3F2"/>
          </w:tcPr>
          <w:p w14:paraId="3E9CE656" w14:textId="77777777" w:rsidR="008E28A6" w:rsidRPr="004D5796" w:rsidRDefault="008E28A6" w:rsidP="00122857">
            <w:pPr>
              <w:pStyle w:val="TabletextrowsAgency"/>
            </w:pPr>
          </w:p>
        </w:tc>
      </w:tr>
      <w:tr w:rsidR="000218B8" w:rsidRPr="004D5796" w14:paraId="20AA23FA" w14:textId="77777777">
        <w:tc>
          <w:tcPr>
            <w:tcW w:w="645" w:type="pct"/>
            <w:shd w:val="clear" w:color="auto" w:fill="E1E3F2"/>
          </w:tcPr>
          <w:p w14:paraId="5C906C28" w14:textId="77777777" w:rsidR="000218B8" w:rsidRPr="004D5796" w:rsidRDefault="000218B8" w:rsidP="000218B8">
            <w:pPr>
              <w:pStyle w:val="TabletextrowsAgency"/>
              <w:spacing w:line="240" w:lineRule="auto"/>
            </w:pPr>
            <w:r w:rsidRPr="004D5796">
              <w:lastRenderedPageBreak/>
              <w:t>Lines 46-47</w:t>
            </w:r>
          </w:p>
        </w:tc>
        <w:tc>
          <w:tcPr>
            <w:tcW w:w="812" w:type="pct"/>
            <w:shd w:val="clear" w:color="auto" w:fill="E1E3F2"/>
          </w:tcPr>
          <w:p w14:paraId="2B9219D7" w14:textId="77777777" w:rsidR="000218B8" w:rsidRPr="004D5796" w:rsidRDefault="000218B8" w:rsidP="000218B8">
            <w:pPr>
              <w:pStyle w:val="TabletextrowsAgency"/>
              <w:spacing w:line="240" w:lineRule="auto"/>
            </w:pPr>
          </w:p>
        </w:tc>
        <w:tc>
          <w:tcPr>
            <w:tcW w:w="2006" w:type="pct"/>
            <w:shd w:val="clear" w:color="auto" w:fill="E1E3F2"/>
          </w:tcPr>
          <w:p w14:paraId="1EF628BF" w14:textId="77777777" w:rsidR="000218B8" w:rsidRPr="004D5796" w:rsidRDefault="000218B8" w:rsidP="00C44BB8">
            <w:pPr>
              <w:pStyle w:val="TabletextrowsAgency"/>
              <w:spacing w:line="240" w:lineRule="auto"/>
            </w:pPr>
            <w:r w:rsidRPr="004D5796">
              <w:t>Comment: Based on the statements around early disease and nr-</w:t>
            </w:r>
            <w:proofErr w:type="spellStart"/>
            <w:r w:rsidRPr="004D5796">
              <w:t>axSpA</w:t>
            </w:r>
            <w:proofErr w:type="spellEnd"/>
            <w:r w:rsidRPr="004D5796">
              <w:t>, it could be inferred that the agency considers nr-</w:t>
            </w:r>
            <w:proofErr w:type="spellStart"/>
            <w:r w:rsidRPr="004D5796">
              <w:t>axSpA</w:t>
            </w:r>
            <w:proofErr w:type="spellEnd"/>
            <w:r w:rsidRPr="004D5796">
              <w:t xml:space="preserve"> to represent early disease. </w:t>
            </w:r>
            <w:r w:rsidR="0076479A">
              <w:t>W</w:t>
            </w:r>
            <w:r w:rsidRPr="004D5796">
              <w:t xml:space="preserve">e would like to clarify that, historically, patients with </w:t>
            </w:r>
            <w:proofErr w:type="spellStart"/>
            <w:r w:rsidRPr="004D5796">
              <w:t>axSpA</w:t>
            </w:r>
            <w:proofErr w:type="spellEnd"/>
            <w:r w:rsidRPr="004D5796">
              <w:t xml:space="preserve"> were only identified when there was evidence of</w:t>
            </w:r>
          </w:p>
          <w:p w14:paraId="6485E07B" w14:textId="77777777" w:rsidR="000218B8" w:rsidRPr="004D5796" w:rsidRDefault="00843AF6" w:rsidP="00C44BB8">
            <w:pPr>
              <w:pStyle w:val="TabletextrowsAgency"/>
              <w:spacing w:line="240" w:lineRule="auto"/>
            </w:pPr>
            <w:proofErr w:type="gramStart"/>
            <w:r>
              <w:t>sufficient</w:t>
            </w:r>
            <w:proofErr w:type="gramEnd"/>
            <w:r>
              <w:t xml:space="preserve"> </w:t>
            </w:r>
            <w:r w:rsidR="000218B8" w:rsidRPr="004D5796">
              <w:t xml:space="preserve">structural damage of the SI joints on the radiographs (radiographic </w:t>
            </w:r>
            <w:proofErr w:type="spellStart"/>
            <w:r w:rsidR="000218B8" w:rsidRPr="004D5796">
              <w:t>sacroiliitis</w:t>
            </w:r>
            <w:proofErr w:type="spellEnd"/>
            <w:r w:rsidR="000218B8" w:rsidRPr="004D5796">
              <w:t xml:space="preserve">, as determined by the </w:t>
            </w:r>
            <w:proofErr w:type="spellStart"/>
            <w:r w:rsidR="000218B8" w:rsidRPr="004D5796">
              <w:t>mNY</w:t>
            </w:r>
            <w:proofErr w:type="spellEnd"/>
            <w:r w:rsidR="000218B8" w:rsidRPr="004D5796">
              <w:t xml:space="preserve"> criteria), and such patients were diagnosed as having AS. Advances in the knowledge of </w:t>
            </w:r>
            <w:proofErr w:type="spellStart"/>
            <w:r w:rsidR="000218B8" w:rsidRPr="004D5796">
              <w:t>axSpA</w:t>
            </w:r>
            <w:proofErr w:type="spellEnd"/>
            <w:r w:rsidR="000218B8" w:rsidRPr="004D5796">
              <w:t xml:space="preserve"> has led to the understanding that some patients who have the clinical manifestations typical of this disease may not have evidence of radiographic </w:t>
            </w:r>
            <w:proofErr w:type="spellStart"/>
            <w:r w:rsidR="000218B8" w:rsidRPr="004D5796">
              <w:t>sacroiliitis</w:t>
            </w:r>
            <w:proofErr w:type="spellEnd"/>
            <w:r w:rsidR="000218B8" w:rsidRPr="004D5796">
              <w:t xml:space="preserve"> at presentation, and such </w:t>
            </w:r>
          </w:p>
          <w:p w14:paraId="7F01B841" w14:textId="77777777" w:rsidR="000218B8" w:rsidRPr="004D5796" w:rsidRDefault="000218B8" w:rsidP="00C44BB8">
            <w:pPr>
              <w:pStyle w:val="TabletextrowsAgency"/>
              <w:spacing w:line="240" w:lineRule="auto"/>
            </w:pPr>
            <w:proofErr w:type="gramStart"/>
            <w:r w:rsidRPr="004D5796">
              <w:t>patients</w:t>
            </w:r>
            <w:proofErr w:type="gramEnd"/>
            <w:r w:rsidRPr="004D5796">
              <w:t xml:space="preserve"> are now diagnosed as having non-radiographic </w:t>
            </w:r>
            <w:proofErr w:type="spellStart"/>
            <w:r w:rsidRPr="004D5796">
              <w:t>axSpA</w:t>
            </w:r>
            <w:proofErr w:type="spellEnd"/>
            <w:r w:rsidRPr="004D5796">
              <w:t xml:space="preserve"> (nr-</w:t>
            </w:r>
            <w:proofErr w:type="spellStart"/>
            <w:r w:rsidRPr="004D5796">
              <w:t>axSpA</w:t>
            </w:r>
            <w:proofErr w:type="spellEnd"/>
            <w:r w:rsidRPr="004D5796">
              <w:t>). Therefore, both AS and nr-</w:t>
            </w:r>
            <w:proofErr w:type="spellStart"/>
            <w:r w:rsidRPr="004D5796">
              <w:t>axSpA</w:t>
            </w:r>
            <w:proofErr w:type="spellEnd"/>
            <w:r w:rsidRPr="004D5796">
              <w:t xml:space="preserve"> represent the spectrum of </w:t>
            </w:r>
            <w:proofErr w:type="spellStart"/>
            <w:r w:rsidRPr="004D5796">
              <w:t>axSpA</w:t>
            </w:r>
            <w:proofErr w:type="spellEnd"/>
            <w:r w:rsidRPr="004D5796">
              <w:t xml:space="preserve">, as opposed to a disease continuum, with the presence or absence of radiographic </w:t>
            </w:r>
            <w:proofErr w:type="spellStart"/>
            <w:r w:rsidRPr="004D5796">
              <w:t>sacroiliitis</w:t>
            </w:r>
            <w:proofErr w:type="spellEnd"/>
            <w:r w:rsidRPr="004D5796">
              <w:t xml:space="preserve"> as the only differentiating clinical feature. This is further supported by data from several </w:t>
            </w:r>
            <w:proofErr w:type="spellStart"/>
            <w:r w:rsidRPr="004D5796">
              <w:t>axSpA</w:t>
            </w:r>
            <w:proofErr w:type="spellEnd"/>
            <w:r w:rsidRPr="004D5796">
              <w:t xml:space="preserve"> cohorts where</w:t>
            </w:r>
            <w:r w:rsidR="00733B72">
              <w:t xml:space="preserve"> a proportion of</w:t>
            </w:r>
            <w:r w:rsidRPr="004D5796">
              <w:t xml:space="preserve"> patients with nr-</w:t>
            </w:r>
            <w:proofErr w:type="spellStart"/>
            <w:r w:rsidRPr="004D5796">
              <w:t>axSpA</w:t>
            </w:r>
            <w:proofErr w:type="spellEnd"/>
            <w:r w:rsidRPr="004D5796">
              <w:t xml:space="preserve"> have not “progressed” to AS despite having been diagnosed for several years. </w:t>
            </w:r>
          </w:p>
          <w:p w14:paraId="00069333" w14:textId="77777777" w:rsidR="000218B8" w:rsidRPr="004D5796" w:rsidRDefault="000218B8" w:rsidP="00C44BB8">
            <w:pPr>
              <w:pStyle w:val="TabletextrowsAgency"/>
              <w:spacing w:line="240" w:lineRule="auto"/>
            </w:pPr>
          </w:p>
          <w:p w14:paraId="1749A920" w14:textId="77777777" w:rsidR="000218B8" w:rsidRPr="004D5796" w:rsidRDefault="000218B8" w:rsidP="00C44BB8">
            <w:pPr>
              <w:pStyle w:val="TabletextrowsAgency"/>
              <w:spacing w:line="240" w:lineRule="auto"/>
            </w:pPr>
            <w:r w:rsidRPr="004D5796">
              <w:t xml:space="preserve">Proposed change (if any): No change proposed, however, the above important concept of </w:t>
            </w:r>
            <w:proofErr w:type="spellStart"/>
            <w:r w:rsidRPr="004D5796">
              <w:t>axSpA</w:t>
            </w:r>
            <w:proofErr w:type="spellEnd"/>
            <w:r w:rsidRPr="004D5796">
              <w:t xml:space="preserve"> being a disease spectrum should be considered when developing the guideline since this concept has been misunderstood in the past.</w:t>
            </w:r>
          </w:p>
          <w:p w14:paraId="7FEA00CC" w14:textId="77777777" w:rsidR="000218B8" w:rsidRPr="004D5796" w:rsidRDefault="000218B8" w:rsidP="00C44BB8">
            <w:pPr>
              <w:pStyle w:val="TabletextrowsAgency"/>
              <w:spacing w:line="240" w:lineRule="auto"/>
            </w:pPr>
          </w:p>
        </w:tc>
        <w:tc>
          <w:tcPr>
            <w:tcW w:w="1537" w:type="pct"/>
            <w:shd w:val="clear" w:color="auto" w:fill="E1E3F2"/>
          </w:tcPr>
          <w:p w14:paraId="4F2D873E" w14:textId="77777777" w:rsidR="000218B8" w:rsidRPr="004D5796" w:rsidRDefault="000218B8">
            <w:pPr>
              <w:pStyle w:val="TabletextrowsAgency"/>
            </w:pPr>
          </w:p>
        </w:tc>
      </w:tr>
      <w:tr w:rsidR="008E28A6" w:rsidRPr="004D5796" w14:paraId="543594A4" w14:textId="77777777" w:rsidTr="00122857">
        <w:tc>
          <w:tcPr>
            <w:tcW w:w="645" w:type="pct"/>
            <w:shd w:val="clear" w:color="auto" w:fill="E1E3F2"/>
          </w:tcPr>
          <w:p w14:paraId="3A32E81D" w14:textId="77777777" w:rsidR="008E28A6" w:rsidRPr="004D5796" w:rsidRDefault="008E28A6" w:rsidP="00122857">
            <w:pPr>
              <w:pStyle w:val="TabletextrowsAgency"/>
            </w:pPr>
            <w:r w:rsidRPr="004D5796">
              <w:t>Line</w:t>
            </w:r>
            <w:r w:rsidR="00E0754C" w:rsidRPr="004D5796">
              <w:t>s</w:t>
            </w:r>
            <w:r w:rsidRPr="004D5796">
              <w:t xml:space="preserve"> 46-47</w:t>
            </w:r>
          </w:p>
        </w:tc>
        <w:tc>
          <w:tcPr>
            <w:tcW w:w="812" w:type="pct"/>
            <w:shd w:val="clear" w:color="auto" w:fill="E1E3F2"/>
          </w:tcPr>
          <w:p w14:paraId="4DFF8683" w14:textId="77777777" w:rsidR="008E28A6" w:rsidRPr="004D5796" w:rsidRDefault="008E28A6" w:rsidP="003C06FC">
            <w:pPr>
              <w:pStyle w:val="TabletextrowsAgency"/>
            </w:pPr>
          </w:p>
        </w:tc>
        <w:tc>
          <w:tcPr>
            <w:tcW w:w="2006" w:type="pct"/>
            <w:shd w:val="clear" w:color="auto" w:fill="E1E3F2"/>
          </w:tcPr>
          <w:p w14:paraId="5ED83198" w14:textId="77777777" w:rsidR="008E28A6" w:rsidRPr="004D5796" w:rsidRDefault="008E28A6" w:rsidP="00C44BB8">
            <w:pPr>
              <w:pStyle w:val="TabletextrowsAgency"/>
              <w:spacing w:line="240" w:lineRule="auto"/>
            </w:pPr>
            <w:r w:rsidRPr="004D5796">
              <w:t xml:space="preserve">Comment: It is stated that functional limitations in early disease are related to inflammation and that persistent disease results in new bone formation. There is currently no evidence to support that new bone formation occurs in all axial </w:t>
            </w:r>
            <w:proofErr w:type="spellStart"/>
            <w:r w:rsidRPr="004D5796">
              <w:t>SpA</w:t>
            </w:r>
            <w:proofErr w:type="spellEnd"/>
            <w:r w:rsidRPr="004D5796">
              <w:t xml:space="preserve"> patients and patients with nr-</w:t>
            </w:r>
            <w:proofErr w:type="spellStart"/>
            <w:r w:rsidRPr="004D5796">
              <w:t>axSpA</w:t>
            </w:r>
            <w:proofErr w:type="spellEnd"/>
            <w:r w:rsidRPr="004D5796">
              <w:t xml:space="preserve"> may have </w:t>
            </w:r>
            <w:r w:rsidRPr="004D5796">
              <w:lastRenderedPageBreak/>
              <w:t xml:space="preserve">disease for greater than 10 years without development of x-ray damage. </w:t>
            </w:r>
          </w:p>
          <w:p w14:paraId="26F3848A" w14:textId="77777777" w:rsidR="001D7EFE" w:rsidRPr="004D5796" w:rsidRDefault="008E28A6" w:rsidP="00C44BB8">
            <w:pPr>
              <w:pStyle w:val="TabletextrowsAgency"/>
              <w:spacing w:line="240" w:lineRule="auto"/>
              <w:jc w:val="both"/>
            </w:pPr>
            <w:r w:rsidRPr="004D5796">
              <w:br/>
            </w:r>
            <w:r w:rsidR="001D7EFE" w:rsidRPr="004D5796">
              <w:t>Proposed change (if any):</w:t>
            </w:r>
          </w:p>
          <w:p w14:paraId="67306052" w14:textId="77777777" w:rsidR="001D7EFE" w:rsidRPr="004D5796" w:rsidRDefault="001D7EFE" w:rsidP="00C44BB8">
            <w:pPr>
              <w:pStyle w:val="TabletextrowsAgency"/>
              <w:spacing w:line="240" w:lineRule="auto"/>
              <w:jc w:val="both"/>
            </w:pPr>
            <w:r w:rsidRPr="004D5796">
              <w:t xml:space="preserve">Functional limitations in the early phases of disease relate to inflammation but </w:t>
            </w:r>
            <w:r w:rsidRPr="004D5796">
              <w:rPr>
                <w:strike/>
              </w:rPr>
              <w:t>may increase</w:t>
            </w:r>
            <w:r w:rsidRPr="004D5796">
              <w:t xml:space="preserve"> with persistent disease </w:t>
            </w:r>
            <w:r w:rsidRPr="004D5796">
              <w:rPr>
                <w:u w:val="double"/>
              </w:rPr>
              <w:t>may also</w:t>
            </w:r>
            <w:r w:rsidRPr="004D5796">
              <w:t xml:space="preserve"> result</w:t>
            </w:r>
            <w:r w:rsidRPr="004D5796">
              <w:rPr>
                <w:strike/>
              </w:rPr>
              <w:t>ing</w:t>
            </w:r>
            <w:r w:rsidRPr="004D5796">
              <w:t xml:space="preserve"> </w:t>
            </w:r>
            <w:r w:rsidRPr="004D5796">
              <w:rPr>
                <w:strike/>
              </w:rPr>
              <w:t>in</w:t>
            </w:r>
            <w:r w:rsidRPr="004D5796">
              <w:t xml:space="preserve"> </w:t>
            </w:r>
            <w:r w:rsidRPr="004D5796">
              <w:rPr>
                <w:u w:val="double"/>
              </w:rPr>
              <w:t xml:space="preserve">from </w:t>
            </w:r>
            <w:r w:rsidRPr="004D5796">
              <w:t>new bone formation.</w:t>
            </w:r>
          </w:p>
          <w:p w14:paraId="45EC20DA" w14:textId="77777777" w:rsidR="008E28A6" w:rsidRPr="004D5796" w:rsidRDefault="008E28A6" w:rsidP="00C44BB8">
            <w:pPr>
              <w:pStyle w:val="TabletextrowsAgency"/>
              <w:spacing w:line="240" w:lineRule="auto"/>
            </w:pPr>
            <w:r w:rsidRPr="004D5796">
              <w:t xml:space="preserve">It is requested to add a separate statement pertaining to radiographic </w:t>
            </w:r>
            <w:proofErr w:type="gramStart"/>
            <w:r w:rsidRPr="004D5796">
              <w:t>progression which</w:t>
            </w:r>
            <w:proofErr w:type="gramEnd"/>
            <w:r w:rsidRPr="004D5796">
              <w:t xml:space="preserve"> discusses progression in the SI joints and progression in the spine.</w:t>
            </w:r>
          </w:p>
        </w:tc>
        <w:tc>
          <w:tcPr>
            <w:tcW w:w="1537" w:type="pct"/>
            <w:shd w:val="clear" w:color="auto" w:fill="E1E3F2"/>
          </w:tcPr>
          <w:p w14:paraId="0EB516BA" w14:textId="77777777" w:rsidR="008E28A6" w:rsidRPr="004D5796" w:rsidRDefault="008E28A6" w:rsidP="00122857">
            <w:pPr>
              <w:pStyle w:val="TabletextrowsAgency"/>
            </w:pPr>
          </w:p>
        </w:tc>
      </w:tr>
      <w:tr w:rsidR="002F08F9" w:rsidRPr="004D5796" w14:paraId="0AB83EC4" w14:textId="77777777" w:rsidTr="00723658">
        <w:tc>
          <w:tcPr>
            <w:tcW w:w="645" w:type="pct"/>
            <w:shd w:val="clear" w:color="auto" w:fill="E1E3F2"/>
          </w:tcPr>
          <w:p w14:paraId="269444D3" w14:textId="77777777" w:rsidR="002F08F9" w:rsidRPr="004D5796" w:rsidRDefault="002F08F9" w:rsidP="00723658">
            <w:pPr>
              <w:pStyle w:val="TabletextrowsAgency"/>
              <w:spacing w:line="240" w:lineRule="auto"/>
            </w:pPr>
            <w:r w:rsidRPr="004D5796">
              <w:lastRenderedPageBreak/>
              <w:t>Lines 47-49</w:t>
            </w:r>
          </w:p>
        </w:tc>
        <w:tc>
          <w:tcPr>
            <w:tcW w:w="812" w:type="pct"/>
            <w:shd w:val="clear" w:color="auto" w:fill="E1E3F2"/>
          </w:tcPr>
          <w:p w14:paraId="2121260D" w14:textId="77777777" w:rsidR="002F08F9" w:rsidRPr="004D5796" w:rsidRDefault="002F08F9" w:rsidP="00723658">
            <w:pPr>
              <w:pStyle w:val="TabletextrowsAgency"/>
              <w:spacing w:line="240" w:lineRule="auto"/>
            </w:pPr>
          </w:p>
        </w:tc>
        <w:tc>
          <w:tcPr>
            <w:tcW w:w="2006" w:type="pct"/>
            <w:shd w:val="clear" w:color="auto" w:fill="E1E3F2"/>
          </w:tcPr>
          <w:p w14:paraId="0FBD7A92" w14:textId="77777777" w:rsidR="00C37A0E" w:rsidRPr="004D5796" w:rsidRDefault="005C19CD" w:rsidP="00C44BB8">
            <w:pPr>
              <w:pStyle w:val="TabletextrowsAgency"/>
              <w:spacing w:line="240" w:lineRule="auto"/>
              <w:jc w:val="both"/>
            </w:pPr>
            <w:r w:rsidRPr="004D5796">
              <w:t xml:space="preserve">The </w:t>
            </w:r>
            <w:r w:rsidR="00225B68" w:rsidRPr="004D5796">
              <w:t xml:space="preserve">concept paper acknowledges the concept of </w:t>
            </w:r>
            <w:proofErr w:type="spellStart"/>
            <w:r w:rsidR="00225B68" w:rsidRPr="004D5796">
              <w:t>axSpA</w:t>
            </w:r>
            <w:proofErr w:type="spellEnd"/>
            <w:r w:rsidR="00225B68" w:rsidRPr="004D5796">
              <w:t xml:space="preserve"> </w:t>
            </w:r>
            <w:r w:rsidR="00C37A0E" w:rsidRPr="004D5796">
              <w:t>as constituting both AS and nr-</w:t>
            </w:r>
            <w:proofErr w:type="spellStart"/>
            <w:r w:rsidR="00C37A0E" w:rsidRPr="004D5796">
              <w:t>axSpA</w:t>
            </w:r>
            <w:proofErr w:type="spellEnd"/>
            <w:r w:rsidR="00C37A0E" w:rsidRPr="004D5796">
              <w:t xml:space="preserve"> subpopulations. Although AS and nr-</w:t>
            </w:r>
            <w:proofErr w:type="spellStart"/>
            <w:r w:rsidR="00C37A0E" w:rsidRPr="004D5796">
              <w:t>axSpA</w:t>
            </w:r>
            <w:proofErr w:type="spellEnd"/>
            <w:r w:rsidR="00C37A0E" w:rsidRPr="004D5796">
              <w:t xml:space="preserve"> have overlapping clinical features and in essence constitutes features of a common disease spectrum, the future guideline should reflect this situation in terms of potential clinical trial designs</w:t>
            </w:r>
            <w:r w:rsidR="00E56E29" w:rsidRPr="004D5796">
              <w:t xml:space="preserve"> (e.g. stratification in a single </w:t>
            </w:r>
            <w:proofErr w:type="spellStart"/>
            <w:r w:rsidR="00E56E29" w:rsidRPr="004D5796">
              <w:t>axSpA</w:t>
            </w:r>
            <w:proofErr w:type="spellEnd"/>
            <w:r w:rsidR="00E56E29" w:rsidRPr="004D5796">
              <w:t xml:space="preserve"> study)</w:t>
            </w:r>
            <w:r w:rsidR="00C37A0E" w:rsidRPr="004D5796">
              <w:t xml:space="preserve">, whilst allowing flexibility in development approaches to support a global development plan that is suitable to meet requirements of global regulatory agencies. </w:t>
            </w:r>
          </w:p>
          <w:p w14:paraId="7313EF34" w14:textId="77777777" w:rsidR="005C19CD" w:rsidRPr="004D5796" w:rsidRDefault="005C19CD" w:rsidP="00C44BB8">
            <w:pPr>
              <w:pStyle w:val="TabletextrowsAgency"/>
              <w:spacing w:line="240" w:lineRule="auto"/>
            </w:pPr>
          </w:p>
          <w:p w14:paraId="5ECC989F" w14:textId="77777777" w:rsidR="002F08F9" w:rsidRPr="004D5796" w:rsidRDefault="002F08F9" w:rsidP="00C44BB8">
            <w:pPr>
              <w:pStyle w:val="TabletextrowsAgency"/>
              <w:spacing w:line="240" w:lineRule="auto"/>
            </w:pPr>
          </w:p>
          <w:p w14:paraId="6A07F9FB" w14:textId="77777777" w:rsidR="002F08F9" w:rsidRPr="004D5796" w:rsidRDefault="002F08F9" w:rsidP="00C44BB8">
            <w:pPr>
              <w:pStyle w:val="TabletextrowsAgency"/>
              <w:spacing w:line="240" w:lineRule="auto"/>
            </w:pPr>
            <w:r w:rsidRPr="004D5796">
              <w:t xml:space="preserve">Proposed change (if any): </w:t>
            </w:r>
            <w:r w:rsidR="00733B72">
              <w:t>“</w:t>
            </w:r>
            <w:r w:rsidR="00E56E29" w:rsidRPr="004D5796">
              <w:t xml:space="preserve">The future guideline </w:t>
            </w:r>
            <w:r w:rsidR="008C1A4D">
              <w:t>will</w:t>
            </w:r>
            <w:r w:rsidR="008C1A4D" w:rsidRPr="004D5796">
              <w:t xml:space="preserve"> </w:t>
            </w:r>
            <w:r w:rsidR="00E56E29" w:rsidRPr="004D5796">
              <w:t xml:space="preserve">clarify requirements for clinical development in support of an </w:t>
            </w:r>
            <w:proofErr w:type="spellStart"/>
            <w:r w:rsidR="00E56E29" w:rsidRPr="004D5796">
              <w:t>axSpA</w:t>
            </w:r>
            <w:proofErr w:type="spellEnd"/>
            <w:r w:rsidR="00E56E29" w:rsidRPr="004D5796">
              <w:t xml:space="preserve"> indication, whilst allowing flexibility for global development plans to meet global regulatory requirements.</w:t>
            </w:r>
            <w:r w:rsidR="00733B72">
              <w:t>”</w:t>
            </w:r>
            <w:r w:rsidR="00E56E29" w:rsidRPr="004D5796">
              <w:t xml:space="preserve"> </w:t>
            </w:r>
            <w:r w:rsidR="00733B72">
              <w:t>This state</w:t>
            </w:r>
            <w:r w:rsidR="00FC5ADF">
              <w:t xml:space="preserve">ment should be reflected in </w:t>
            </w:r>
            <w:r w:rsidR="00B5013B">
              <w:t xml:space="preserve">Line </w:t>
            </w:r>
            <w:r w:rsidR="00733B72">
              <w:t>85</w:t>
            </w:r>
            <w:r w:rsidR="00FC5ADF">
              <w:t xml:space="preserve"> after, “Th</w:t>
            </w:r>
            <w:r w:rsidR="008C1A4D">
              <w:t>e</w:t>
            </w:r>
            <w:r w:rsidR="00FC5ADF">
              <w:t xml:space="preserve"> GL will discuss how the new ASAS criteria will apply to the inclusion and characterization of patient populations</w:t>
            </w:r>
            <w:r w:rsidR="008C1A4D">
              <w:t xml:space="preserve"> for inclusion in trials for regulatory purposes</w:t>
            </w:r>
            <w:r w:rsidR="00733B72">
              <w:t>.</w:t>
            </w:r>
            <w:r w:rsidR="008C1A4D">
              <w:t>”</w:t>
            </w:r>
          </w:p>
          <w:p w14:paraId="4F0DF371" w14:textId="77777777" w:rsidR="002F08F9" w:rsidRPr="004D5796" w:rsidRDefault="002F08F9" w:rsidP="00C44BB8">
            <w:pPr>
              <w:pStyle w:val="TabletextrowsAgency"/>
              <w:spacing w:line="240" w:lineRule="auto"/>
            </w:pPr>
          </w:p>
        </w:tc>
        <w:tc>
          <w:tcPr>
            <w:tcW w:w="1537" w:type="pct"/>
            <w:shd w:val="clear" w:color="auto" w:fill="E1E3F2"/>
          </w:tcPr>
          <w:p w14:paraId="6541070C" w14:textId="77777777" w:rsidR="002F08F9" w:rsidRPr="004D5796" w:rsidRDefault="002F08F9" w:rsidP="00723658">
            <w:pPr>
              <w:pStyle w:val="TabletextrowsAgency"/>
            </w:pPr>
          </w:p>
        </w:tc>
      </w:tr>
      <w:tr w:rsidR="008E28A6" w:rsidRPr="004D5796" w14:paraId="001D34A2" w14:textId="77777777" w:rsidTr="00122857">
        <w:tc>
          <w:tcPr>
            <w:tcW w:w="645" w:type="pct"/>
            <w:shd w:val="clear" w:color="auto" w:fill="E1E3F2"/>
          </w:tcPr>
          <w:p w14:paraId="594C8BCA" w14:textId="77777777" w:rsidR="008E28A6" w:rsidRPr="004D5796" w:rsidRDefault="008E28A6" w:rsidP="00122857">
            <w:pPr>
              <w:pStyle w:val="TabletextrowsAgency"/>
            </w:pPr>
            <w:r w:rsidRPr="004D5796">
              <w:t>Line</w:t>
            </w:r>
            <w:r w:rsidR="00E0754C" w:rsidRPr="004D5796">
              <w:t>s</w:t>
            </w:r>
            <w:r w:rsidRPr="004D5796">
              <w:t xml:space="preserve"> 50-53</w:t>
            </w:r>
          </w:p>
        </w:tc>
        <w:tc>
          <w:tcPr>
            <w:tcW w:w="812" w:type="pct"/>
            <w:shd w:val="clear" w:color="auto" w:fill="E1E3F2"/>
          </w:tcPr>
          <w:p w14:paraId="689BB320" w14:textId="77777777" w:rsidR="008E28A6" w:rsidRPr="004D5796" w:rsidRDefault="008E28A6" w:rsidP="003C06FC">
            <w:pPr>
              <w:pStyle w:val="TabletextrowsAgency"/>
            </w:pPr>
          </w:p>
        </w:tc>
        <w:tc>
          <w:tcPr>
            <w:tcW w:w="2006" w:type="pct"/>
            <w:shd w:val="clear" w:color="auto" w:fill="E1E3F2"/>
          </w:tcPr>
          <w:p w14:paraId="3833BE4C" w14:textId="77777777" w:rsidR="008E28A6" w:rsidRPr="004D5796" w:rsidRDefault="008E28A6" w:rsidP="00C44BB8">
            <w:pPr>
              <w:pStyle w:val="TabletextrowsAgency"/>
              <w:spacing w:line="240" w:lineRule="auto"/>
            </w:pPr>
            <w:r w:rsidRPr="004D5796">
              <w:t xml:space="preserve">Comment: This section on prognosis should be revised to clarify that prognosis can pertain to either radiographic progression and/or progression of symptoms, disability, and </w:t>
            </w:r>
            <w:r w:rsidRPr="004D5796">
              <w:lastRenderedPageBreak/>
              <w:t xml:space="preserve">survival. Currently the factors mentioned are only those associated with radiographic progression. </w:t>
            </w:r>
          </w:p>
          <w:p w14:paraId="34184420" w14:textId="77777777" w:rsidR="008E28A6" w:rsidRPr="004D5796" w:rsidRDefault="008E28A6" w:rsidP="00C44BB8">
            <w:pPr>
              <w:pStyle w:val="TabletextrowsAgency"/>
              <w:spacing w:line="240" w:lineRule="auto"/>
              <w:rPr>
                <w:lang w:val="de-DE"/>
              </w:rPr>
            </w:pPr>
            <w:r w:rsidRPr="004D5796">
              <w:t xml:space="preserve">Additionally, literature supports some difference in predictors of radiographic progression in the SI joints vs. the spine. The variables mentioned such as male sex, smoking, increased CRP </w:t>
            </w:r>
            <w:proofErr w:type="gramStart"/>
            <w:r w:rsidRPr="004D5796">
              <w:t>are</w:t>
            </w:r>
            <w:proofErr w:type="gramEnd"/>
            <w:r w:rsidRPr="004D5796">
              <w:t xml:space="preserve"> predictors for radiographic progression in the spine. In addition, existing </w:t>
            </w:r>
            <w:proofErr w:type="spellStart"/>
            <w:r w:rsidRPr="004D5796">
              <w:t>syndesmophytes</w:t>
            </w:r>
            <w:proofErr w:type="spellEnd"/>
            <w:r w:rsidRPr="004D5796">
              <w:t xml:space="preserve"> are also predictors for spinal progression as typically measured by the modified </w:t>
            </w:r>
            <w:proofErr w:type="spellStart"/>
            <w:r w:rsidR="00B57C6E" w:rsidRPr="004D5796">
              <w:t>modified</w:t>
            </w:r>
            <w:proofErr w:type="spellEnd"/>
            <w:r w:rsidR="00B57C6E" w:rsidRPr="004D5796">
              <w:t xml:space="preserve"> Stoke </w:t>
            </w:r>
            <w:r w:rsidR="00B57C6E">
              <w:t xml:space="preserve">Ankylosing </w:t>
            </w:r>
            <w:r w:rsidR="00B57C6E" w:rsidRPr="004D5796">
              <w:t xml:space="preserve">Spondylitis </w:t>
            </w:r>
            <w:r w:rsidR="00B57C6E">
              <w:t xml:space="preserve">Spinal </w:t>
            </w:r>
            <w:r w:rsidR="00B57C6E" w:rsidRPr="004D5796">
              <w:t xml:space="preserve">Score </w:t>
            </w:r>
            <w:r w:rsidRPr="004D5796">
              <w:t>(</w:t>
            </w:r>
            <w:proofErr w:type="spellStart"/>
            <w:r w:rsidRPr="004D5796">
              <w:t>mSASSS</w:t>
            </w:r>
            <w:proofErr w:type="spellEnd"/>
            <w:r w:rsidRPr="004D5796">
              <w:t>) (</w:t>
            </w:r>
            <w:proofErr w:type="spellStart"/>
            <w:r w:rsidRPr="004D5796">
              <w:rPr>
                <w:lang w:val="de-DE"/>
              </w:rPr>
              <w:t>Poddubnyy</w:t>
            </w:r>
            <w:proofErr w:type="spellEnd"/>
            <w:r w:rsidRPr="004D5796">
              <w:rPr>
                <w:lang w:val="de-DE"/>
              </w:rPr>
              <w:t xml:space="preserve"> D. et al. Arthritis </w:t>
            </w:r>
            <w:proofErr w:type="spellStart"/>
            <w:r w:rsidRPr="004D5796">
              <w:rPr>
                <w:lang w:val="de-DE"/>
              </w:rPr>
              <w:t>Rheum</w:t>
            </w:r>
            <w:proofErr w:type="spellEnd"/>
            <w:r w:rsidRPr="004D5796">
              <w:rPr>
                <w:lang w:val="de-DE"/>
              </w:rPr>
              <w:t xml:space="preserve"> 2012</w:t>
            </w:r>
            <w:proofErr w:type="gramStart"/>
            <w:r w:rsidRPr="004D5796">
              <w:rPr>
                <w:lang w:val="de-DE"/>
              </w:rPr>
              <w:t>;64:1388</w:t>
            </w:r>
            <w:proofErr w:type="gramEnd"/>
            <w:r w:rsidRPr="004D5796">
              <w:rPr>
                <w:lang w:val="de-DE"/>
              </w:rPr>
              <w:t xml:space="preserve">- 1398; </w:t>
            </w:r>
            <w:r w:rsidRPr="004D5796">
              <w:rPr>
                <w:lang w:val="nl-BE"/>
              </w:rPr>
              <w:t xml:space="preserve">Van Tubergen A. et al. </w:t>
            </w:r>
            <w:r w:rsidRPr="004D5796">
              <w:rPr>
                <w:lang w:val="de-DE"/>
              </w:rPr>
              <w:t xml:space="preserve">Ann </w:t>
            </w:r>
            <w:proofErr w:type="spellStart"/>
            <w:r w:rsidRPr="004D5796">
              <w:rPr>
                <w:lang w:val="de-DE"/>
              </w:rPr>
              <w:t>Rheum</w:t>
            </w:r>
            <w:proofErr w:type="spellEnd"/>
            <w:r w:rsidRPr="004D5796">
              <w:rPr>
                <w:lang w:val="de-DE"/>
              </w:rPr>
              <w:t xml:space="preserve"> Dis 2012;71:518–523; </w:t>
            </w:r>
            <w:proofErr w:type="spellStart"/>
            <w:r w:rsidRPr="004D5796">
              <w:rPr>
                <w:lang w:val="de-DE"/>
              </w:rPr>
              <w:t>Baraliakos</w:t>
            </w:r>
            <w:proofErr w:type="spellEnd"/>
            <w:r w:rsidRPr="004D5796">
              <w:rPr>
                <w:lang w:val="de-DE"/>
              </w:rPr>
              <w:t xml:space="preserve"> X. et al. J </w:t>
            </w:r>
            <w:proofErr w:type="spellStart"/>
            <w:r w:rsidRPr="004D5796">
              <w:rPr>
                <w:lang w:val="de-DE"/>
              </w:rPr>
              <w:t>Rheumatol</w:t>
            </w:r>
            <w:proofErr w:type="spellEnd"/>
            <w:r w:rsidRPr="004D5796">
              <w:rPr>
                <w:lang w:val="de-DE"/>
              </w:rPr>
              <w:t xml:space="preserve"> 2009;36;997-1002). </w:t>
            </w:r>
          </w:p>
          <w:p w14:paraId="21FA434A" w14:textId="77777777" w:rsidR="008E28A6" w:rsidRPr="004D5796" w:rsidRDefault="008E28A6" w:rsidP="00C44BB8">
            <w:pPr>
              <w:pStyle w:val="TabletextrowsAgency"/>
              <w:spacing w:line="240" w:lineRule="auto"/>
              <w:rPr>
                <w:lang w:val="fr-BE"/>
              </w:rPr>
            </w:pPr>
            <w:proofErr w:type="spellStart"/>
            <w:r w:rsidRPr="004D5796">
              <w:rPr>
                <w:lang w:val="de-DE"/>
              </w:rPr>
              <w:t>Predictors</w:t>
            </w:r>
            <w:proofErr w:type="spellEnd"/>
            <w:r w:rsidRPr="004D5796">
              <w:rPr>
                <w:lang w:val="de-DE"/>
              </w:rPr>
              <w:t xml:space="preserve"> </w:t>
            </w:r>
            <w:proofErr w:type="spellStart"/>
            <w:r w:rsidRPr="004D5796">
              <w:rPr>
                <w:lang w:val="de-DE"/>
              </w:rPr>
              <w:t>for</w:t>
            </w:r>
            <w:proofErr w:type="spellEnd"/>
            <w:r w:rsidRPr="004D5796">
              <w:rPr>
                <w:lang w:val="de-DE"/>
              </w:rPr>
              <w:t xml:space="preserve"> </w:t>
            </w:r>
            <w:proofErr w:type="spellStart"/>
            <w:r w:rsidRPr="004D5796">
              <w:rPr>
                <w:lang w:val="de-DE"/>
              </w:rPr>
              <w:t>radiographic</w:t>
            </w:r>
            <w:proofErr w:type="spellEnd"/>
            <w:r w:rsidRPr="004D5796">
              <w:rPr>
                <w:lang w:val="de-DE"/>
              </w:rPr>
              <w:t xml:space="preserve"> </w:t>
            </w:r>
            <w:proofErr w:type="spellStart"/>
            <w:r w:rsidRPr="004D5796">
              <w:rPr>
                <w:lang w:val="de-DE"/>
              </w:rPr>
              <w:t>progresssion</w:t>
            </w:r>
            <w:proofErr w:type="spellEnd"/>
            <w:r w:rsidRPr="004D5796">
              <w:rPr>
                <w:lang w:val="de-DE"/>
              </w:rPr>
              <w:t xml:space="preserve"> in </w:t>
            </w:r>
            <w:proofErr w:type="spellStart"/>
            <w:r w:rsidRPr="004D5796">
              <w:rPr>
                <w:lang w:val="de-DE"/>
              </w:rPr>
              <w:t>the</w:t>
            </w:r>
            <w:proofErr w:type="spellEnd"/>
            <w:r w:rsidRPr="004D5796">
              <w:rPr>
                <w:lang w:val="de-DE"/>
              </w:rPr>
              <w:t xml:space="preserve"> </w:t>
            </w:r>
            <w:proofErr w:type="spellStart"/>
            <w:r w:rsidRPr="004D5796">
              <w:rPr>
                <w:lang w:val="de-DE"/>
              </w:rPr>
              <w:t>sacroiliac</w:t>
            </w:r>
            <w:proofErr w:type="spellEnd"/>
            <w:r w:rsidRPr="004D5796">
              <w:rPr>
                <w:lang w:val="de-DE"/>
              </w:rPr>
              <w:t xml:space="preserve"> </w:t>
            </w:r>
            <w:proofErr w:type="spellStart"/>
            <w:r w:rsidRPr="004D5796">
              <w:rPr>
                <w:lang w:val="de-DE"/>
              </w:rPr>
              <w:t>joints</w:t>
            </w:r>
            <w:proofErr w:type="spellEnd"/>
            <w:r w:rsidRPr="004D5796">
              <w:rPr>
                <w:lang w:val="de-DE"/>
              </w:rPr>
              <w:t xml:space="preserve"> (</w:t>
            </w:r>
            <w:proofErr w:type="spellStart"/>
            <w:r w:rsidRPr="004D5796">
              <w:rPr>
                <w:lang w:val="de-DE"/>
              </w:rPr>
              <w:t>progression</w:t>
            </w:r>
            <w:proofErr w:type="spellEnd"/>
            <w:r w:rsidRPr="004D5796">
              <w:rPr>
                <w:lang w:val="de-DE"/>
              </w:rPr>
              <w:t xml:space="preserve"> </w:t>
            </w:r>
            <w:proofErr w:type="spellStart"/>
            <w:r w:rsidRPr="004D5796">
              <w:rPr>
                <w:lang w:val="de-DE"/>
              </w:rPr>
              <w:t>from</w:t>
            </w:r>
            <w:proofErr w:type="spellEnd"/>
            <w:r w:rsidRPr="004D5796">
              <w:rPr>
                <w:lang w:val="de-DE"/>
              </w:rPr>
              <w:t xml:space="preserve"> </w:t>
            </w:r>
            <w:proofErr w:type="spellStart"/>
            <w:r w:rsidRPr="004D5796">
              <w:rPr>
                <w:lang w:val="de-DE"/>
              </w:rPr>
              <w:t>nr-axSpA</w:t>
            </w:r>
            <w:proofErr w:type="spellEnd"/>
            <w:r w:rsidRPr="004D5796">
              <w:rPr>
                <w:lang w:val="de-DE"/>
              </w:rPr>
              <w:t xml:space="preserve"> </w:t>
            </w:r>
            <w:proofErr w:type="spellStart"/>
            <w:r w:rsidRPr="004D5796">
              <w:rPr>
                <w:lang w:val="de-DE"/>
              </w:rPr>
              <w:t>to</w:t>
            </w:r>
            <w:proofErr w:type="spellEnd"/>
            <w:r w:rsidRPr="004D5796">
              <w:rPr>
                <w:lang w:val="de-DE"/>
              </w:rPr>
              <w:t xml:space="preserve"> AS) </w:t>
            </w:r>
            <w:proofErr w:type="spellStart"/>
            <w:r w:rsidRPr="004D5796">
              <w:rPr>
                <w:lang w:val="de-DE"/>
              </w:rPr>
              <w:t>include</w:t>
            </w:r>
            <w:proofErr w:type="spellEnd"/>
            <w:r w:rsidRPr="004D5796">
              <w:rPr>
                <w:lang w:val="de-DE"/>
              </w:rPr>
              <w:t xml:space="preserve"> </w:t>
            </w:r>
            <w:proofErr w:type="spellStart"/>
            <w:r w:rsidRPr="004D5796">
              <w:rPr>
                <w:lang w:val="de-DE"/>
              </w:rPr>
              <w:t>elevated</w:t>
            </w:r>
            <w:proofErr w:type="spellEnd"/>
            <w:r w:rsidRPr="004D5796">
              <w:rPr>
                <w:lang w:val="de-DE"/>
              </w:rPr>
              <w:t xml:space="preserve"> CRP, positive HLA-B27 and </w:t>
            </w:r>
            <w:proofErr w:type="spellStart"/>
            <w:r w:rsidRPr="004D5796">
              <w:rPr>
                <w:lang w:val="de-DE"/>
              </w:rPr>
              <w:t>evidence</w:t>
            </w:r>
            <w:proofErr w:type="spellEnd"/>
            <w:r w:rsidRPr="004D5796">
              <w:rPr>
                <w:lang w:val="de-DE"/>
              </w:rPr>
              <w:t xml:space="preserve"> </w:t>
            </w:r>
            <w:proofErr w:type="spellStart"/>
            <w:r w:rsidRPr="004D5796">
              <w:rPr>
                <w:lang w:val="de-DE"/>
              </w:rPr>
              <w:t>of</w:t>
            </w:r>
            <w:proofErr w:type="spellEnd"/>
            <w:r w:rsidRPr="004D5796">
              <w:rPr>
                <w:lang w:val="de-DE"/>
              </w:rPr>
              <w:t xml:space="preserve"> </w:t>
            </w:r>
            <w:proofErr w:type="spellStart"/>
            <w:r w:rsidRPr="004D5796">
              <w:rPr>
                <w:lang w:val="de-DE"/>
              </w:rPr>
              <w:t>active</w:t>
            </w:r>
            <w:proofErr w:type="spellEnd"/>
            <w:r w:rsidRPr="004D5796">
              <w:rPr>
                <w:lang w:val="de-DE"/>
              </w:rPr>
              <w:t xml:space="preserve"> </w:t>
            </w:r>
            <w:proofErr w:type="spellStart"/>
            <w:r w:rsidRPr="004D5796">
              <w:rPr>
                <w:lang w:val="de-DE"/>
              </w:rPr>
              <w:t>inflammation</w:t>
            </w:r>
            <w:proofErr w:type="spellEnd"/>
            <w:r w:rsidRPr="004D5796">
              <w:rPr>
                <w:lang w:val="de-DE"/>
              </w:rPr>
              <w:t xml:space="preserve"> on MRI in </w:t>
            </w:r>
            <w:proofErr w:type="spellStart"/>
            <w:r w:rsidRPr="004D5796">
              <w:rPr>
                <w:lang w:val="de-DE"/>
              </w:rPr>
              <w:t>the</w:t>
            </w:r>
            <w:proofErr w:type="spellEnd"/>
            <w:r w:rsidRPr="004D5796">
              <w:rPr>
                <w:lang w:val="de-DE"/>
              </w:rPr>
              <w:t xml:space="preserve"> SI-joints (</w:t>
            </w:r>
            <w:proofErr w:type="spellStart"/>
            <w:r w:rsidRPr="004D5796">
              <w:rPr>
                <w:lang w:val="de-DE"/>
              </w:rPr>
              <w:t>sacroiliitis</w:t>
            </w:r>
            <w:proofErr w:type="spellEnd"/>
            <w:r w:rsidRPr="004D5796">
              <w:rPr>
                <w:lang w:val="de-DE"/>
              </w:rPr>
              <w:t>) (</w:t>
            </w:r>
            <w:proofErr w:type="spellStart"/>
            <w:r w:rsidRPr="004D5796">
              <w:rPr>
                <w:lang w:val="de-DE"/>
              </w:rPr>
              <w:t>Poddubnyy</w:t>
            </w:r>
            <w:proofErr w:type="spellEnd"/>
            <w:r w:rsidRPr="004D5796">
              <w:rPr>
                <w:lang w:val="de-DE"/>
              </w:rPr>
              <w:t xml:space="preserve"> et al. Ann </w:t>
            </w:r>
            <w:proofErr w:type="spellStart"/>
            <w:r w:rsidRPr="004D5796">
              <w:rPr>
                <w:lang w:val="de-DE"/>
              </w:rPr>
              <w:t>Rheum</w:t>
            </w:r>
            <w:proofErr w:type="spellEnd"/>
            <w:r w:rsidRPr="004D5796">
              <w:rPr>
                <w:lang w:val="de-DE"/>
              </w:rPr>
              <w:t xml:space="preserve"> Dis 2011;70:1369–1374; Bennett A.N. et al. Arthritis </w:t>
            </w:r>
            <w:proofErr w:type="spellStart"/>
            <w:r w:rsidRPr="004D5796">
              <w:rPr>
                <w:lang w:val="de-DE"/>
              </w:rPr>
              <w:t>Rheum</w:t>
            </w:r>
            <w:proofErr w:type="spellEnd"/>
            <w:r w:rsidRPr="004D5796">
              <w:rPr>
                <w:lang w:val="de-DE"/>
              </w:rPr>
              <w:t xml:space="preserve"> 2008;58:3413-3418). </w:t>
            </w:r>
          </w:p>
          <w:p w14:paraId="18F4222F" w14:textId="77777777" w:rsidR="008E28A6" w:rsidRPr="004D5796" w:rsidRDefault="008E28A6" w:rsidP="00C44BB8">
            <w:pPr>
              <w:pStyle w:val="TabletextrowsAgency"/>
              <w:spacing w:line="240" w:lineRule="auto"/>
              <w:rPr>
                <w:lang w:val="fr-BE"/>
              </w:rPr>
            </w:pPr>
          </w:p>
          <w:p w14:paraId="68D036AB" w14:textId="77777777" w:rsidR="008E28A6" w:rsidRPr="004D5796" w:rsidRDefault="008E28A6" w:rsidP="00C44BB8">
            <w:pPr>
              <w:pStyle w:val="TabletextrowsAgency"/>
              <w:spacing w:line="240" w:lineRule="auto"/>
            </w:pPr>
            <w:r w:rsidRPr="004D5796">
              <w:t xml:space="preserve">Proposed change: Revise content to described prognosis as it pertains to radiographic progression, progression of symptoms, disability, and survival, or limit the section header to prognosis in terms of radiographic progression. </w:t>
            </w:r>
          </w:p>
        </w:tc>
        <w:tc>
          <w:tcPr>
            <w:tcW w:w="1537" w:type="pct"/>
            <w:shd w:val="clear" w:color="auto" w:fill="E1E3F2"/>
          </w:tcPr>
          <w:p w14:paraId="16CE36E9" w14:textId="77777777" w:rsidR="008E28A6" w:rsidRPr="004D5796" w:rsidRDefault="008E28A6" w:rsidP="00122857">
            <w:pPr>
              <w:pStyle w:val="TabletextrowsAgency"/>
            </w:pPr>
          </w:p>
        </w:tc>
      </w:tr>
      <w:tr w:rsidR="008E28A6" w:rsidRPr="004D5796" w14:paraId="15867EDC" w14:textId="77777777" w:rsidTr="00122857">
        <w:tc>
          <w:tcPr>
            <w:tcW w:w="645" w:type="pct"/>
            <w:shd w:val="clear" w:color="auto" w:fill="E1E3F2"/>
          </w:tcPr>
          <w:p w14:paraId="7B78CFDD" w14:textId="77777777" w:rsidR="008E28A6" w:rsidRPr="004D5796" w:rsidRDefault="008E28A6" w:rsidP="00122857">
            <w:pPr>
              <w:pStyle w:val="TabletextrowsAgency"/>
            </w:pPr>
            <w:r w:rsidRPr="004D5796">
              <w:lastRenderedPageBreak/>
              <w:t>Line 57</w:t>
            </w:r>
          </w:p>
        </w:tc>
        <w:tc>
          <w:tcPr>
            <w:tcW w:w="812" w:type="pct"/>
            <w:shd w:val="clear" w:color="auto" w:fill="E1E3F2"/>
          </w:tcPr>
          <w:p w14:paraId="64CB4726" w14:textId="77777777" w:rsidR="008E28A6" w:rsidRPr="004D5796" w:rsidRDefault="008E28A6" w:rsidP="003C06FC">
            <w:pPr>
              <w:pStyle w:val="TabletextrowsAgency"/>
            </w:pPr>
          </w:p>
        </w:tc>
        <w:tc>
          <w:tcPr>
            <w:tcW w:w="2006" w:type="pct"/>
            <w:shd w:val="clear" w:color="auto" w:fill="E1E3F2"/>
          </w:tcPr>
          <w:p w14:paraId="65755A63" w14:textId="77777777" w:rsidR="008E28A6" w:rsidRPr="004D5796" w:rsidRDefault="008E28A6" w:rsidP="00C44BB8">
            <w:pPr>
              <w:autoSpaceDE w:val="0"/>
              <w:autoSpaceDN w:val="0"/>
              <w:adjustRightInd w:val="0"/>
            </w:pPr>
            <w:r w:rsidRPr="004D5796">
              <w:t xml:space="preserve">Comment: There are no data to support the statement that NSAIDs may cause deleterious effects on radiographic progression. </w:t>
            </w:r>
          </w:p>
          <w:p w14:paraId="62198325" w14:textId="77777777" w:rsidR="008E28A6" w:rsidRPr="004D5796" w:rsidRDefault="008E28A6" w:rsidP="00C44BB8">
            <w:pPr>
              <w:autoSpaceDE w:val="0"/>
              <w:autoSpaceDN w:val="0"/>
              <w:adjustRightInd w:val="0"/>
            </w:pPr>
          </w:p>
          <w:p w14:paraId="07C913F6" w14:textId="77777777" w:rsidR="008E28A6" w:rsidRPr="004D5796" w:rsidRDefault="008E28A6" w:rsidP="00C44BB8">
            <w:pPr>
              <w:autoSpaceDE w:val="0"/>
              <w:autoSpaceDN w:val="0"/>
              <w:adjustRightInd w:val="0"/>
            </w:pPr>
            <w:r w:rsidRPr="004D5796">
              <w:t>Proposed change: remove reference to deleterious effects of NSAIDs on radiographic progression.</w:t>
            </w:r>
          </w:p>
        </w:tc>
        <w:tc>
          <w:tcPr>
            <w:tcW w:w="1537" w:type="pct"/>
            <w:shd w:val="clear" w:color="auto" w:fill="E1E3F2"/>
          </w:tcPr>
          <w:p w14:paraId="480F7EF6" w14:textId="77777777" w:rsidR="008E28A6" w:rsidRPr="004D5796" w:rsidRDefault="008E28A6" w:rsidP="00122857">
            <w:pPr>
              <w:pStyle w:val="TabletextrowsAgency"/>
            </w:pPr>
          </w:p>
        </w:tc>
      </w:tr>
      <w:tr w:rsidR="008E28A6" w:rsidRPr="004D5796" w14:paraId="6D6661D6" w14:textId="77777777">
        <w:tc>
          <w:tcPr>
            <w:tcW w:w="645" w:type="pct"/>
            <w:shd w:val="clear" w:color="auto" w:fill="E1E3F2"/>
          </w:tcPr>
          <w:p w14:paraId="63BD6914" w14:textId="77777777" w:rsidR="008E28A6" w:rsidRPr="004D5796" w:rsidRDefault="008E28A6" w:rsidP="00821425">
            <w:pPr>
              <w:pStyle w:val="TabletextrowsAgency"/>
              <w:spacing w:line="240" w:lineRule="auto"/>
            </w:pPr>
            <w:r w:rsidRPr="004D5796">
              <w:t>62-63</w:t>
            </w:r>
          </w:p>
        </w:tc>
        <w:tc>
          <w:tcPr>
            <w:tcW w:w="812" w:type="pct"/>
            <w:shd w:val="clear" w:color="auto" w:fill="E1E3F2"/>
          </w:tcPr>
          <w:p w14:paraId="74751614" w14:textId="77777777" w:rsidR="008E28A6" w:rsidRPr="004D5796" w:rsidRDefault="008E28A6" w:rsidP="00821425">
            <w:pPr>
              <w:pStyle w:val="TabletextrowsAgency"/>
              <w:spacing w:line="240" w:lineRule="auto"/>
            </w:pPr>
          </w:p>
        </w:tc>
        <w:tc>
          <w:tcPr>
            <w:tcW w:w="2006" w:type="pct"/>
            <w:shd w:val="clear" w:color="auto" w:fill="E1E3F2"/>
          </w:tcPr>
          <w:p w14:paraId="4ADCFA19" w14:textId="77777777" w:rsidR="008E28A6" w:rsidRPr="004D5796" w:rsidRDefault="008E28A6" w:rsidP="00C44BB8">
            <w:pPr>
              <w:pStyle w:val="TabletextrowsAgency"/>
              <w:spacing w:line="240" w:lineRule="auto"/>
              <w:jc w:val="both"/>
            </w:pPr>
            <w:r w:rsidRPr="004D5796">
              <w:t xml:space="preserve">Comment: </w:t>
            </w:r>
          </w:p>
          <w:p w14:paraId="1A735C3D" w14:textId="77777777" w:rsidR="008E28A6" w:rsidRPr="004D5796" w:rsidRDefault="008E28A6" w:rsidP="00C44BB8">
            <w:pPr>
              <w:pStyle w:val="TabletextrowsAgency"/>
              <w:spacing w:line="240" w:lineRule="auto"/>
              <w:jc w:val="both"/>
            </w:pPr>
            <w:r w:rsidRPr="004D5796">
              <w:t xml:space="preserve">Minor typographical revision. </w:t>
            </w:r>
          </w:p>
          <w:p w14:paraId="56A64AC1" w14:textId="77777777" w:rsidR="008E28A6" w:rsidRPr="004D5796" w:rsidRDefault="008E28A6" w:rsidP="00C44BB8">
            <w:pPr>
              <w:pStyle w:val="TabletextrowsAgency"/>
              <w:spacing w:line="240" w:lineRule="auto"/>
              <w:jc w:val="both"/>
            </w:pPr>
          </w:p>
          <w:p w14:paraId="448EA99A" w14:textId="77777777" w:rsidR="008E28A6" w:rsidRPr="004D5796" w:rsidRDefault="008E28A6" w:rsidP="00C44BB8">
            <w:pPr>
              <w:pStyle w:val="TabletextrowsAgency"/>
              <w:spacing w:line="240" w:lineRule="auto"/>
              <w:jc w:val="both"/>
            </w:pPr>
            <w:r w:rsidRPr="004D5796">
              <w:t>Proposed change (if any):</w:t>
            </w:r>
          </w:p>
          <w:p w14:paraId="300D4A78" w14:textId="77777777" w:rsidR="008E28A6" w:rsidRPr="004D5796" w:rsidRDefault="008E28A6" w:rsidP="00C44BB8">
            <w:pPr>
              <w:pStyle w:val="TabletextrowsAgency"/>
              <w:spacing w:line="240" w:lineRule="auto"/>
              <w:jc w:val="both"/>
            </w:pPr>
            <w:r w:rsidRPr="004D5796">
              <w:lastRenderedPageBreak/>
              <w:t xml:space="preserve">In recent </w:t>
            </w:r>
            <w:r w:rsidRPr="004D5796">
              <w:rPr>
                <w:strike/>
              </w:rPr>
              <w:t>several</w:t>
            </w:r>
            <w:r w:rsidRPr="004D5796">
              <w:t xml:space="preserve"> years</w:t>
            </w:r>
            <w:r w:rsidRPr="004D5796">
              <w:rPr>
                <w:u w:val="double"/>
              </w:rPr>
              <w:t>, several</w:t>
            </w:r>
            <w:r w:rsidRPr="004D5796">
              <w:t xml:space="preserve"> studies of treatment with </w:t>
            </w:r>
            <w:proofErr w:type="spellStart"/>
            <w:r w:rsidRPr="004D5796">
              <w:t>TNFi</w:t>
            </w:r>
            <w:proofErr w:type="spellEnd"/>
            <w:r w:rsidRPr="004D5796">
              <w:t xml:space="preserve"> in AS, defined according to the </w:t>
            </w:r>
            <w:proofErr w:type="spellStart"/>
            <w:r w:rsidR="00725B4C">
              <w:t>mNY</w:t>
            </w:r>
            <w:proofErr w:type="spellEnd"/>
            <w:r w:rsidRPr="004D5796">
              <w:t xml:space="preserve"> criteria</w:t>
            </w:r>
            <w:r w:rsidRPr="004D5796">
              <w:rPr>
                <w:u w:val="double"/>
              </w:rPr>
              <w:t>,</w:t>
            </w:r>
            <w:r w:rsidRPr="004D5796">
              <w:t xml:space="preserve"> have been published.</w:t>
            </w:r>
          </w:p>
          <w:p w14:paraId="08EEA90D" w14:textId="77777777" w:rsidR="008E28A6" w:rsidRPr="004D5796" w:rsidRDefault="008E28A6" w:rsidP="00C44BB8">
            <w:pPr>
              <w:pStyle w:val="TabletextrowsAgency"/>
              <w:spacing w:line="240" w:lineRule="auto"/>
              <w:jc w:val="both"/>
            </w:pPr>
          </w:p>
          <w:p w14:paraId="46D807D4" w14:textId="77777777" w:rsidR="008E28A6" w:rsidRPr="004D5796" w:rsidRDefault="008E28A6" w:rsidP="00C44BB8">
            <w:pPr>
              <w:pStyle w:val="TabletextrowsAgency"/>
              <w:spacing w:line="240" w:lineRule="auto"/>
              <w:jc w:val="both"/>
            </w:pPr>
          </w:p>
        </w:tc>
        <w:tc>
          <w:tcPr>
            <w:tcW w:w="1537" w:type="pct"/>
            <w:shd w:val="clear" w:color="auto" w:fill="E1E3F2"/>
          </w:tcPr>
          <w:p w14:paraId="68B11B04" w14:textId="77777777" w:rsidR="008E28A6" w:rsidRPr="004D5796" w:rsidRDefault="008E28A6">
            <w:pPr>
              <w:pStyle w:val="TabletextrowsAgency"/>
            </w:pPr>
          </w:p>
        </w:tc>
      </w:tr>
      <w:tr w:rsidR="008E28A6" w:rsidRPr="004D5796" w14:paraId="0818834C" w14:textId="77777777">
        <w:tc>
          <w:tcPr>
            <w:tcW w:w="645" w:type="pct"/>
            <w:shd w:val="clear" w:color="auto" w:fill="E1E3F2"/>
          </w:tcPr>
          <w:p w14:paraId="0BC4327A" w14:textId="77777777" w:rsidR="008E28A6" w:rsidRPr="004D5796" w:rsidRDefault="0023195B" w:rsidP="00A572C5">
            <w:pPr>
              <w:pStyle w:val="TabletextrowsAgency"/>
              <w:spacing w:line="240" w:lineRule="auto"/>
            </w:pPr>
            <w:r>
              <w:lastRenderedPageBreak/>
              <w:t>Line 61-62</w:t>
            </w:r>
          </w:p>
        </w:tc>
        <w:tc>
          <w:tcPr>
            <w:tcW w:w="812" w:type="pct"/>
            <w:shd w:val="clear" w:color="auto" w:fill="E1E3F2"/>
          </w:tcPr>
          <w:p w14:paraId="00D11CCF" w14:textId="77777777" w:rsidR="008E28A6" w:rsidRPr="004D5796" w:rsidRDefault="008E28A6" w:rsidP="00A572C5">
            <w:pPr>
              <w:pStyle w:val="TabletextrowsAgency"/>
              <w:spacing w:line="240" w:lineRule="auto"/>
            </w:pPr>
          </w:p>
        </w:tc>
        <w:tc>
          <w:tcPr>
            <w:tcW w:w="2006" w:type="pct"/>
            <w:shd w:val="clear" w:color="auto" w:fill="E1E3F2"/>
          </w:tcPr>
          <w:p w14:paraId="714AE44C" w14:textId="77777777" w:rsidR="008E28A6" w:rsidRPr="004D5796" w:rsidRDefault="008E28A6" w:rsidP="00C44BB8">
            <w:pPr>
              <w:pStyle w:val="TabletextrowsAgency"/>
              <w:spacing w:line="240" w:lineRule="auto"/>
            </w:pPr>
            <w:r w:rsidRPr="004D5796">
              <w:t>Comment: The Concept Paper should acknowledge that there are patients who inadequately respond to or are intolerant of TNF-inhibitor agents as well</w:t>
            </w:r>
            <w:r w:rsidR="0023195B">
              <w:t xml:space="preserve"> </w:t>
            </w:r>
          </w:p>
          <w:p w14:paraId="6125332A" w14:textId="77777777" w:rsidR="008E28A6" w:rsidRPr="004D5796" w:rsidRDefault="008E28A6" w:rsidP="00C44BB8">
            <w:pPr>
              <w:pStyle w:val="TabletextrowsAgency"/>
              <w:spacing w:line="240" w:lineRule="auto"/>
            </w:pPr>
            <w:r w:rsidRPr="004D5796">
              <w:t xml:space="preserve">Proposed change (if any): </w:t>
            </w:r>
          </w:p>
          <w:p w14:paraId="6B28CBDD" w14:textId="77777777" w:rsidR="008E28A6" w:rsidRPr="004D5796" w:rsidRDefault="008E28A6" w:rsidP="00C44BB8">
            <w:pPr>
              <w:pStyle w:val="TabletextrowsAgency"/>
              <w:spacing w:line="240" w:lineRule="auto"/>
            </w:pPr>
          </w:p>
        </w:tc>
        <w:tc>
          <w:tcPr>
            <w:tcW w:w="1537" w:type="pct"/>
            <w:shd w:val="clear" w:color="auto" w:fill="E1E3F2"/>
          </w:tcPr>
          <w:p w14:paraId="1721D5EC" w14:textId="77777777" w:rsidR="008E28A6" w:rsidRPr="004D5796" w:rsidRDefault="008E28A6">
            <w:pPr>
              <w:pStyle w:val="TabletextrowsAgency"/>
            </w:pPr>
          </w:p>
        </w:tc>
      </w:tr>
      <w:tr w:rsidR="008E28A6" w:rsidRPr="004D5796" w14:paraId="2A2BF80C" w14:textId="77777777">
        <w:tc>
          <w:tcPr>
            <w:tcW w:w="645" w:type="pct"/>
            <w:shd w:val="clear" w:color="auto" w:fill="E1E3F2"/>
          </w:tcPr>
          <w:p w14:paraId="2F71B5CE" w14:textId="77777777" w:rsidR="008E28A6" w:rsidRPr="004D5796" w:rsidRDefault="008E28A6" w:rsidP="00C1264B">
            <w:pPr>
              <w:pStyle w:val="TabletextrowsAgency"/>
              <w:spacing w:line="240" w:lineRule="auto"/>
            </w:pPr>
            <w:r w:rsidRPr="004D5796">
              <w:t>Lines 68-76</w:t>
            </w:r>
          </w:p>
        </w:tc>
        <w:tc>
          <w:tcPr>
            <w:tcW w:w="812" w:type="pct"/>
            <w:shd w:val="clear" w:color="auto" w:fill="E1E3F2"/>
          </w:tcPr>
          <w:p w14:paraId="38586658" w14:textId="77777777" w:rsidR="008E28A6" w:rsidRPr="004D5796" w:rsidRDefault="008E28A6" w:rsidP="00C1264B">
            <w:pPr>
              <w:pStyle w:val="TabletextrowsAgency"/>
              <w:spacing w:line="240" w:lineRule="auto"/>
            </w:pPr>
          </w:p>
        </w:tc>
        <w:tc>
          <w:tcPr>
            <w:tcW w:w="2006" w:type="pct"/>
            <w:shd w:val="clear" w:color="auto" w:fill="E1E3F2"/>
          </w:tcPr>
          <w:p w14:paraId="325B14E3" w14:textId="77777777" w:rsidR="008E28A6" w:rsidRPr="004D5796" w:rsidRDefault="008E28A6" w:rsidP="00C44BB8">
            <w:pPr>
              <w:pStyle w:val="TabletextrowsAgency"/>
              <w:spacing w:line="240" w:lineRule="auto"/>
            </w:pPr>
            <w:r w:rsidRPr="004D5796">
              <w:t xml:space="preserve">Comment: It is important to use appropriate </w:t>
            </w:r>
            <w:r w:rsidR="00E56E29" w:rsidRPr="004D5796">
              <w:t>classification</w:t>
            </w:r>
            <w:r w:rsidRPr="004D5796">
              <w:t xml:space="preserve"> criteria for recruitment of target population (Axial </w:t>
            </w:r>
            <w:proofErr w:type="spellStart"/>
            <w:r w:rsidRPr="004D5796">
              <w:t>SpA</w:t>
            </w:r>
            <w:proofErr w:type="spellEnd"/>
            <w:r w:rsidRPr="004D5796">
              <w:t xml:space="preserve">) in the clinical studies. </w:t>
            </w:r>
          </w:p>
          <w:p w14:paraId="6B3D16EA" w14:textId="77777777" w:rsidR="008E28A6" w:rsidRPr="004D5796" w:rsidRDefault="008E28A6" w:rsidP="00C44BB8">
            <w:pPr>
              <w:pStyle w:val="TabletextrowsAgency"/>
              <w:spacing w:line="240" w:lineRule="auto"/>
            </w:pPr>
            <w:r w:rsidRPr="004D5796">
              <w:t xml:space="preserve">Proposed change (if any): </w:t>
            </w:r>
            <w:r w:rsidR="00E56E29" w:rsidRPr="004D5796">
              <w:t xml:space="preserve">Guideline should </w:t>
            </w:r>
            <w:r w:rsidR="00633484">
              <w:t xml:space="preserve">clarify  </w:t>
            </w:r>
            <w:r w:rsidR="00E56E29" w:rsidRPr="004D5796">
              <w:t>the appropriate</w:t>
            </w:r>
            <w:r w:rsidRPr="004D5796">
              <w:t xml:space="preserve"> </w:t>
            </w:r>
            <w:r w:rsidR="00E56E29" w:rsidRPr="004D5796">
              <w:t>classification</w:t>
            </w:r>
            <w:r w:rsidRPr="004D5796">
              <w:t xml:space="preserve"> criteria </w:t>
            </w:r>
            <w:r w:rsidR="00E56E29" w:rsidRPr="004D5796">
              <w:t>to</w:t>
            </w:r>
            <w:r w:rsidRPr="004D5796">
              <w:t xml:space="preserve"> be used for recruitment of patients  </w:t>
            </w:r>
            <w:r w:rsidR="00A71848">
              <w:t xml:space="preserve">for example </w:t>
            </w:r>
            <w:r w:rsidR="00633484">
              <w:t xml:space="preserve">the ASAS criteria for axial </w:t>
            </w:r>
            <w:proofErr w:type="spellStart"/>
            <w:r w:rsidR="00633484">
              <w:t>SpA</w:t>
            </w:r>
            <w:proofErr w:type="spellEnd"/>
            <w:r w:rsidR="00FE3300">
              <w:t xml:space="preserve"> </w:t>
            </w:r>
            <w:r w:rsidR="00453194">
              <w:t>and</w:t>
            </w:r>
            <w:r w:rsidR="00FE3300">
              <w:t xml:space="preserve"> modified New York criteria for AS.</w:t>
            </w:r>
            <w:r w:rsidR="00633484">
              <w:t xml:space="preserve"> </w:t>
            </w:r>
          </w:p>
          <w:p w14:paraId="21A4EFAB" w14:textId="77777777" w:rsidR="008E28A6" w:rsidRPr="004D5796" w:rsidRDefault="008E28A6" w:rsidP="00C44BB8">
            <w:pPr>
              <w:pStyle w:val="TabletextrowsAgency"/>
              <w:spacing w:line="240" w:lineRule="auto"/>
            </w:pPr>
          </w:p>
        </w:tc>
        <w:tc>
          <w:tcPr>
            <w:tcW w:w="1537" w:type="pct"/>
            <w:shd w:val="clear" w:color="auto" w:fill="E1E3F2"/>
          </w:tcPr>
          <w:p w14:paraId="4F8B32E2" w14:textId="77777777" w:rsidR="008E28A6" w:rsidRPr="004D5796" w:rsidRDefault="008E28A6">
            <w:pPr>
              <w:pStyle w:val="TabletextrowsAgency"/>
            </w:pPr>
          </w:p>
        </w:tc>
      </w:tr>
      <w:tr w:rsidR="008E28A6" w:rsidRPr="004D5796" w14:paraId="6AD3597D" w14:textId="77777777">
        <w:tc>
          <w:tcPr>
            <w:tcW w:w="645" w:type="pct"/>
            <w:shd w:val="clear" w:color="auto" w:fill="E1E3F2"/>
          </w:tcPr>
          <w:p w14:paraId="73D7A612" w14:textId="77777777" w:rsidR="008E28A6" w:rsidRPr="004D5796" w:rsidRDefault="008E28A6" w:rsidP="00C1264B">
            <w:pPr>
              <w:pStyle w:val="TabletextrowsAgency"/>
              <w:spacing w:line="240" w:lineRule="auto"/>
            </w:pPr>
            <w:r w:rsidRPr="004D5796">
              <w:t>Lines 68-92</w:t>
            </w:r>
          </w:p>
        </w:tc>
        <w:tc>
          <w:tcPr>
            <w:tcW w:w="812" w:type="pct"/>
            <w:shd w:val="clear" w:color="auto" w:fill="E1E3F2"/>
          </w:tcPr>
          <w:p w14:paraId="330AE5D8" w14:textId="77777777" w:rsidR="008E28A6" w:rsidRPr="004D5796" w:rsidRDefault="008E28A6" w:rsidP="00C1264B">
            <w:pPr>
              <w:pStyle w:val="TabletextrowsAgency"/>
              <w:spacing w:line="240" w:lineRule="auto"/>
            </w:pPr>
          </w:p>
        </w:tc>
        <w:tc>
          <w:tcPr>
            <w:tcW w:w="2006" w:type="pct"/>
            <w:shd w:val="clear" w:color="auto" w:fill="E1E3F2"/>
          </w:tcPr>
          <w:p w14:paraId="44205920" w14:textId="77777777" w:rsidR="008E28A6" w:rsidRDefault="008E28A6" w:rsidP="00C44BB8">
            <w:pPr>
              <w:pStyle w:val="TabletextrowsAgency"/>
              <w:spacing w:line="240" w:lineRule="auto"/>
            </w:pPr>
            <w:r w:rsidRPr="004D5796">
              <w:t>Please clar</w:t>
            </w:r>
            <w:r w:rsidR="009A305B" w:rsidRPr="004D5796">
              <w:t xml:space="preserve">ify the number of studies, </w:t>
            </w:r>
            <w:r w:rsidRPr="004D5796">
              <w:t xml:space="preserve">minimum number of patients </w:t>
            </w:r>
            <w:r w:rsidR="009A305B" w:rsidRPr="004D5796">
              <w:t xml:space="preserve">and study duration </w:t>
            </w:r>
            <w:r w:rsidRPr="004D5796">
              <w:t>required</w:t>
            </w:r>
            <w:r w:rsidR="009A305B" w:rsidRPr="004D5796">
              <w:t xml:space="preserve"> </w:t>
            </w:r>
            <w:r w:rsidRPr="004D5796">
              <w:t xml:space="preserve">for approval of a new drug in </w:t>
            </w:r>
            <w:r w:rsidR="00FC5ADF">
              <w:t xml:space="preserve">axial </w:t>
            </w:r>
            <w:proofErr w:type="spellStart"/>
            <w:r w:rsidRPr="004D5796">
              <w:t>SpA</w:t>
            </w:r>
            <w:proofErr w:type="spellEnd"/>
            <w:r w:rsidRPr="004D5796">
              <w:t xml:space="preserve"> as a primary indication.</w:t>
            </w:r>
          </w:p>
          <w:p w14:paraId="2807E94F" w14:textId="77777777" w:rsidR="00FC5ADF" w:rsidRDefault="00FC5ADF" w:rsidP="00C44BB8">
            <w:pPr>
              <w:pStyle w:val="TabletextrowsAgency"/>
              <w:spacing w:line="240" w:lineRule="auto"/>
            </w:pPr>
          </w:p>
          <w:p w14:paraId="528E3684" w14:textId="77777777" w:rsidR="00FC5ADF" w:rsidRPr="004D5796" w:rsidRDefault="00FC5ADF" w:rsidP="00C44BB8">
            <w:pPr>
              <w:pStyle w:val="TabletextrowsAgency"/>
              <w:spacing w:line="240" w:lineRule="auto"/>
            </w:pPr>
            <w:r w:rsidRPr="004D5796">
              <w:t>Proposed change (if any):</w:t>
            </w:r>
            <w:r>
              <w:t xml:space="preserve"> </w:t>
            </w:r>
            <w:r w:rsidR="004A1DFF">
              <w:t>Add the following on Line 84:</w:t>
            </w:r>
            <w:r>
              <w:t xml:space="preserve"> “The guideline will also consider the number of studies, study duration, and minimum number of patients required for approval of  a product in the treatment of </w:t>
            </w:r>
            <w:proofErr w:type="spellStart"/>
            <w:r>
              <w:t>axSpA</w:t>
            </w:r>
            <w:proofErr w:type="spellEnd"/>
            <w:r>
              <w:t>; taking into consideration the existing knowledge for the product (</w:t>
            </w:r>
            <w:proofErr w:type="spellStart"/>
            <w:r>
              <w:t>eg</w:t>
            </w:r>
            <w:proofErr w:type="spellEnd"/>
            <w:r>
              <w:t xml:space="preserve"> approved related indications).”</w:t>
            </w:r>
          </w:p>
        </w:tc>
        <w:tc>
          <w:tcPr>
            <w:tcW w:w="1537" w:type="pct"/>
            <w:shd w:val="clear" w:color="auto" w:fill="E1E3F2"/>
          </w:tcPr>
          <w:p w14:paraId="34CE5659" w14:textId="77777777" w:rsidR="008E28A6" w:rsidRPr="004D5796" w:rsidRDefault="008E28A6">
            <w:pPr>
              <w:pStyle w:val="TabletextrowsAgency"/>
            </w:pPr>
          </w:p>
        </w:tc>
      </w:tr>
      <w:tr w:rsidR="008E28A6" w:rsidRPr="004D5796" w14:paraId="62879CF1" w14:textId="77777777">
        <w:tc>
          <w:tcPr>
            <w:tcW w:w="645" w:type="pct"/>
            <w:shd w:val="clear" w:color="auto" w:fill="E1E3F2"/>
          </w:tcPr>
          <w:p w14:paraId="491D035A" w14:textId="77777777" w:rsidR="008E28A6" w:rsidRPr="004D5796" w:rsidRDefault="008E28A6" w:rsidP="00A572C5">
            <w:pPr>
              <w:pStyle w:val="TabletextrowsAgency"/>
              <w:spacing w:line="240" w:lineRule="auto"/>
            </w:pPr>
            <w:r w:rsidRPr="004D5796">
              <w:t>Lines 69</w:t>
            </w:r>
          </w:p>
        </w:tc>
        <w:tc>
          <w:tcPr>
            <w:tcW w:w="812" w:type="pct"/>
            <w:shd w:val="clear" w:color="auto" w:fill="E1E3F2"/>
          </w:tcPr>
          <w:p w14:paraId="79165FBF" w14:textId="77777777" w:rsidR="008E28A6" w:rsidRPr="004D5796" w:rsidRDefault="008E28A6" w:rsidP="00A572C5">
            <w:pPr>
              <w:pStyle w:val="TabletextrowsAgency"/>
              <w:spacing w:line="240" w:lineRule="auto"/>
            </w:pPr>
          </w:p>
        </w:tc>
        <w:tc>
          <w:tcPr>
            <w:tcW w:w="2006" w:type="pct"/>
            <w:shd w:val="clear" w:color="auto" w:fill="E1E3F2"/>
          </w:tcPr>
          <w:p w14:paraId="6A640A3C" w14:textId="77777777" w:rsidR="008E28A6" w:rsidRPr="004D5796" w:rsidRDefault="008E28A6" w:rsidP="00C44BB8">
            <w:pPr>
              <w:pStyle w:val="TabletextrowsAgency"/>
              <w:spacing w:line="240" w:lineRule="auto"/>
            </w:pPr>
            <w:r w:rsidRPr="004D5796">
              <w:t>Comment: Recommended wording change for clarity</w:t>
            </w:r>
          </w:p>
          <w:p w14:paraId="1AE996B6" w14:textId="77777777" w:rsidR="008E28A6" w:rsidRPr="004D5796" w:rsidRDefault="008E28A6" w:rsidP="00C44BB8">
            <w:pPr>
              <w:pStyle w:val="TabletextrowsAgency"/>
              <w:spacing w:line="240" w:lineRule="auto"/>
            </w:pPr>
          </w:p>
          <w:p w14:paraId="0E4781B6" w14:textId="77777777" w:rsidR="008E28A6" w:rsidRPr="004D5796" w:rsidRDefault="008E28A6" w:rsidP="00C44BB8">
            <w:pPr>
              <w:pStyle w:val="TabletextrowsAgency"/>
              <w:spacing w:line="240" w:lineRule="auto"/>
            </w:pPr>
            <w:r w:rsidRPr="004D5796">
              <w:t>Proposed change (if any): Change “for the treatment” to “to guide treatment”</w:t>
            </w:r>
          </w:p>
          <w:p w14:paraId="6847E26E" w14:textId="77777777" w:rsidR="008E28A6" w:rsidRPr="004D5796" w:rsidRDefault="008E28A6" w:rsidP="00C44BB8">
            <w:pPr>
              <w:pStyle w:val="TabletextrowsAgency"/>
              <w:spacing w:line="240" w:lineRule="auto"/>
            </w:pPr>
          </w:p>
        </w:tc>
        <w:tc>
          <w:tcPr>
            <w:tcW w:w="1537" w:type="pct"/>
            <w:shd w:val="clear" w:color="auto" w:fill="E1E3F2"/>
          </w:tcPr>
          <w:p w14:paraId="28C68275" w14:textId="77777777" w:rsidR="008E28A6" w:rsidRPr="004D5796" w:rsidRDefault="008E28A6">
            <w:pPr>
              <w:pStyle w:val="TabletextrowsAgency"/>
            </w:pPr>
          </w:p>
        </w:tc>
      </w:tr>
      <w:tr w:rsidR="008E28A6" w:rsidRPr="004D5796" w14:paraId="64CC9002" w14:textId="77777777" w:rsidTr="00122857">
        <w:tc>
          <w:tcPr>
            <w:tcW w:w="645" w:type="pct"/>
            <w:shd w:val="clear" w:color="auto" w:fill="E1E3F2"/>
          </w:tcPr>
          <w:p w14:paraId="079CAC9C" w14:textId="77777777" w:rsidR="008E28A6" w:rsidRPr="004D5796" w:rsidRDefault="008E28A6" w:rsidP="00122857">
            <w:pPr>
              <w:pStyle w:val="TabletextrowsAgency"/>
            </w:pPr>
            <w:r w:rsidRPr="004D5796">
              <w:lastRenderedPageBreak/>
              <w:t>Line 69-70</w:t>
            </w:r>
          </w:p>
        </w:tc>
        <w:tc>
          <w:tcPr>
            <w:tcW w:w="812" w:type="pct"/>
            <w:shd w:val="clear" w:color="auto" w:fill="E1E3F2"/>
          </w:tcPr>
          <w:p w14:paraId="20969518" w14:textId="77777777" w:rsidR="008E28A6" w:rsidRPr="004D5796" w:rsidRDefault="008E28A6" w:rsidP="003C06FC">
            <w:pPr>
              <w:pStyle w:val="TabletextrowsAgency"/>
            </w:pPr>
          </w:p>
        </w:tc>
        <w:tc>
          <w:tcPr>
            <w:tcW w:w="2006" w:type="pct"/>
            <w:shd w:val="clear" w:color="auto" w:fill="E1E3F2"/>
          </w:tcPr>
          <w:p w14:paraId="4BE28AF1" w14:textId="77777777" w:rsidR="008E28A6" w:rsidRPr="004D5796" w:rsidRDefault="008E28A6" w:rsidP="00C44BB8">
            <w:pPr>
              <w:autoSpaceDE w:val="0"/>
              <w:autoSpaceDN w:val="0"/>
              <w:adjustRightInd w:val="0"/>
            </w:pPr>
            <w:r w:rsidRPr="004D5796">
              <w:t xml:space="preserve">Comment: the abbreviation for Ankylosing Spondylitis Disease Activity Score is “ASDAS”. It should be specified what is meant by “AS 20/40”: it should be “ASAS20/40” (20% and </w:t>
            </w:r>
            <w:r w:rsidRPr="004D5796">
              <w:rPr>
                <w:rFonts w:cs="ZurichBT-LightCondensed"/>
                <w:lang w:val="en-US" w:eastAsia="en-US"/>
              </w:rPr>
              <w:t xml:space="preserve">40% improvement according to the Assessment of </w:t>
            </w:r>
            <w:proofErr w:type="spellStart"/>
            <w:r w:rsidRPr="004D5796">
              <w:rPr>
                <w:rFonts w:cs="ZurichBT-LightCondensed"/>
                <w:lang w:val="en-US" w:eastAsia="en-US"/>
              </w:rPr>
              <w:t>SpondyloArthritis</w:t>
            </w:r>
            <w:proofErr w:type="spellEnd"/>
            <w:r w:rsidRPr="004D5796">
              <w:rPr>
                <w:rFonts w:cs="ZurichBT-LightCondensed"/>
                <w:lang w:val="en-US" w:eastAsia="en-US"/>
              </w:rPr>
              <w:t xml:space="preserve"> international Society criteria </w:t>
            </w:r>
            <w:r w:rsidRPr="004D5796">
              <w:t xml:space="preserve">” </w:t>
            </w:r>
          </w:p>
          <w:p w14:paraId="4CF9157E" w14:textId="77777777" w:rsidR="008E28A6" w:rsidRPr="004D5796" w:rsidRDefault="008E28A6" w:rsidP="00C44BB8">
            <w:pPr>
              <w:pStyle w:val="TabletextrowsAgency"/>
              <w:spacing w:line="240" w:lineRule="auto"/>
            </w:pPr>
          </w:p>
          <w:p w14:paraId="0ABA69BA" w14:textId="77777777" w:rsidR="008E28A6" w:rsidRPr="004D5796" w:rsidRDefault="008E28A6" w:rsidP="00C44BB8">
            <w:pPr>
              <w:pStyle w:val="TabletextrowsAgency"/>
              <w:spacing w:line="240" w:lineRule="auto"/>
            </w:pPr>
            <w:r w:rsidRPr="004D5796">
              <w:t>Proposed change: introduce “ASDAS” abbreviation; correct “AS 20/40” to “ASAS 20/40”</w:t>
            </w:r>
          </w:p>
        </w:tc>
        <w:tc>
          <w:tcPr>
            <w:tcW w:w="1537" w:type="pct"/>
            <w:shd w:val="clear" w:color="auto" w:fill="E1E3F2"/>
          </w:tcPr>
          <w:p w14:paraId="2C76CE14" w14:textId="77777777" w:rsidR="008E28A6" w:rsidRPr="004D5796" w:rsidRDefault="008E28A6" w:rsidP="00122857">
            <w:pPr>
              <w:pStyle w:val="TabletextrowsAgency"/>
            </w:pPr>
          </w:p>
        </w:tc>
      </w:tr>
      <w:tr w:rsidR="008E28A6" w:rsidRPr="004D5796" w14:paraId="70866C5F" w14:textId="77777777">
        <w:tc>
          <w:tcPr>
            <w:tcW w:w="645" w:type="pct"/>
            <w:shd w:val="clear" w:color="auto" w:fill="E1E3F2"/>
          </w:tcPr>
          <w:p w14:paraId="16BD8627" w14:textId="77777777" w:rsidR="008E28A6" w:rsidRPr="004D5796" w:rsidRDefault="001E118E" w:rsidP="00DE1D2C">
            <w:pPr>
              <w:pStyle w:val="TabletextrowsAgency"/>
              <w:spacing w:line="240" w:lineRule="auto"/>
            </w:pPr>
            <w:r>
              <w:t xml:space="preserve">Lines </w:t>
            </w:r>
            <w:r w:rsidR="008E28A6" w:rsidRPr="004D5796">
              <w:t>71-74</w:t>
            </w:r>
          </w:p>
        </w:tc>
        <w:tc>
          <w:tcPr>
            <w:tcW w:w="812" w:type="pct"/>
            <w:shd w:val="clear" w:color="auto" w:fill="E1E3F2"/>
          </w:tcPr>
          <w:p w14:paraId="7FD04F72" w14:textId="77777777" w:rsidR="008E28A6" w:rsidRPr="004D5796" w:rsidRDefault="008E28A6" w:rsidP="00DE1D2C">
            <w:pPr>
              <w:pStyle w:val="TabletextrowsAgency"/>
              <w:spacing w:line="240" w:lineRule="auto"/>
            </w:pPr>
          </w:p>
        </w:tc>
        <w:tc>
          <w:tcPr>
            <w:tcW w:w="2006" w:type="pct"/>
            <w:shd w:val="clear" w:color="auto" w:fill="E1E3F2"/>
          </w:tcPr>
          <w:p w14:paraId="7584BAFA" w14:textId="77777777" w:rsidR="008E28A6" w:rsidRPr="004D5796" w:rsidRDefault="008E28A6" w:rsidP="00C44BB8">
            <w:pPr>
              <w:pStyle w:val="TabletextrowsAgency"/>
              <w:spacing w:line="240" w:lineRule="auto"/>
              <w:jc w:val="both"/>
            </w:pPr>
            <w:r w:rsidRPr="004D5796">
              <w:t xml:space="preserve">Comment: </w:t>
            </w:r>
          </w:p>
          <w:p w14:paraId="0005FEB0" w14:textId="77777777" w:rsidR="008E28A6" w:rsidRPr="004D5796" w:rsidRDefault="008E28A6" w:rsidP="00C44BB8">
            <w:pPr>
              <w:pStyle w:val="TabletextrowsAgency"/>
              <w:spacing w:line="240" w:lineRule="auto"/>
              <w:jc w:val="both"/>
            </w:pPr>
            <w:r w:rsidRPr="004D5796">
              <w:t xml:space="preserve"> Recent treatment advances (</w:t>
            </w:r>
            <w:proofErr w:type="spellStart"/>
            <w:r w:rsidRPr="004D5796">
              <w:t>eg</w:t>
            </w:r>
            <w:proofErr w:type="spellEnd"/>
            <w:r w:rsidRPr="004D5796">
              <w:t xml:space="preserve"> TNF inhibitors) have not demonstrated robust efficacy in randomised controlled clinical trials in terms of inhibition of structural damage (which in </w:t>
            </w:r>
            <w:proofErr w:type="spellStart"/>
            <w:r w:rsidRPr="004D5796">
              <w:t>axSpA</w:t>
            </w:r>
            <w:proofErr w:type="spellEnd"/>
            <w:r w:rsidRPr="004D5796">
              <w:t xml:space="preserve"> consists of both </w:t>
            </w:r>
            <w:proofErr w:type="spellStart"/>
            <w:r w:rsidRPr="004D5796">
              <w:t>osteodestructive</w:t>
            </w:r>
            <w:proofErr w:type="spellEnd"/>
            <w:r w:rsidRPr="004D5796">
              <w:t xml:space="preserve"> and </w:t>
            </w:r>
            <w:proofErr w:type="spellStart"/>
            <w:r w:rsidRPr="004D5796">
              <w:t>osteoprofilerative</w:t>
            </w:r>
            <w:proofErr w:type="spellEnd"/>
            <w:r w:rsidRPr="004D5796">
              <w:t xml:space="preserve"> changes). Existing treatment options in patients with an inadequate response to NSAIDs focus on improvement of signs and symptoms and improvement of physical function. As such, currently available treatment options should not lead to a change of emphasis of treatment goal. Whilst prevention of structural progression remains an aspirational outcome, this should not be the primary focus of confirmatory clinical trial designs </w:t>
            </w:r>
            <w:proofErr w:type="spellStart"/>
            <w:r w:rsidRPr="004D5796">
              <w:t>i.e</w:t>
            </w:r>
            <w:proofErr w:type="spellEnd"/>
            <w:r w:rsidRPr="004D5796">
              <w:t xml:space="preserve"> efficacy in terms of signs and symptoms and/or improvements of physical functions are appropriate treatment goals.</w:t>
            </w:r>
            <w:r w:rsidR="004D5796">
              <w:t xml:space="preserve"> </w:t>
            </w:r>
            <w:r w:rsidR="004D5796" w:rsidRPr="004D5796">
              <w:t xml:space="preserve">As such, prevention of structural progression should not be a mandatory requirement for approval but the guideline should provide provisions on approaches to obtain a label claim for inhibition of  structural progression cognizant of ethical and feasibility considerations with an outcome measure which generally has slower progression than observed in RA and </w:t>
            </w:r>
            <w:proofErr w:type="spellStart"/>
            <w:r w:rsidR="004D5796" w:rsidRPr="004D5796">
              <w:t>PsA</w:t>
            </w:r>
            <w:proofErr w:type="spellEnd"/>
          </w:p>
          <w:p w14:paraId="01084EC7" w14:textId="77777777" w:rsidR="008E28A6" w:rsidRPr="004D5796" w:rsidRDefault="008E28A6" w:rsidP="00C44BB8">
            <w:pPr>
              <w:pStyle w:val="TabletextrowsAgency"/>
              <w:spacing w:line="240" w:lineRule="auto"/>
              <w:jc w:val="both"/>
            </w:pPr>
          </w:p>
          <w:p w14:paraId="36C2DB8C" w14:textId="77777777" w:rsidR="008E28A6" w:rsidRPr="004D5796" w:rsidRDefault="008E28A6" w:rsidP="00C44BB8">
            <w:pPr>
              <w:pStyle w:val="TabletextrowsAgency"/>
              <w:spacing w:line="240" w:lineRule="auto"/>
              <w:jc w:val="both"/>
            </w:pPr>
            <w:r w:rsidRPr="004D5796">
              <w:t>Proposed change (if any):</w:t>
            </w:r>
          </w:p>
          <w:p w14:paraId="6C6D5447" w14:textId="77777777" w:rsidR="008E28A6" w:rsidRPr="004D5796" w:rsidRDefault="008E28A6" w:rsidP="00C44BB8">
            <w:pPr>
              <w:pStyle w:val="TabletextrowsAgency"/>
              <w:spacing w:line="240" w:lineRule="auto"/>
              <w:jc w:val="both"/>
            </w:pPr>
            <w:r w:rsidRPr="004D5796">
              <w:t>The currently available treatment options may have implications for the choice of study population, the goals of treatment</w:t>
            </w:r>
            <w:r w:rsidRPr="004D5796">
              <w:rPr>
                <w:strike/>
              </w:rPr>
              <w:t xml:space="preserve">, either symptomatic or prevention of disease </w:t>
            </w:r>
            <w:r w:rsidRPr="004D5796">
              <w:rPr>
                <w:strike/>
              </w:rPr>
              <w:lastRenderedPageBreak/>
              <w:t>progression (i.e., bone damage)</w:t>
            </w:r>
            <w:r w:rsidRPr="004D5796">
              <w:t xml:space="preserve"> and for the choice of endpoints, the choice of comparator study duration and time points for evaluation, as well as for the need for adequate discontinuation criteria.</w:t>
            </w:r>
          </w:p>
          <w:p w14:paraId="394722D3" w14:textId="77777777" w:rsidR="008E28A6" w:rsidRPr="004D5796" w:rsidRDefault="008E28A6" w:rsidP="00C44BB8">
            <w:pPr>
              <w:pStyle w:val="TabletextrowsAgency"/>
              <w:spacing w:line="240" w:lineRule="auto"/>
              <w:jc w:val="both"/>
            </w:pPr>
          </w:p>
        </w:tc>
        <w:tc>
          <w:tcPr>
            <w:tcW w:w="1537" w:type="pct"/>
            <w:shd w:val="clear" w:color="auto" w:fill="E1E3F2"/>
          </w:tcPr>
          <w:p w14:paraId="790FDC61" w14:textId="77777777" w:rsidR="008E28A6" w:rsidRPr="004D5796" w:rsidRDefault="008E28A6">
            <w:pPr>
              <w:pStyle w:val="TabletextrowsAgency"/>
            </w:pPr>
          </w:p>
        </w:tc>
      </w:tr>
      <w:tr w:rsidR="008E28A6" w:rsidRPr="004D5796" w14:paraId="126273EC" w14:textId="77777777">
        <w:tc>
          <w:tcPr>
            <w:tcW w:w="645" w:type="pct"/>
            <w:shd w:val="clear" w:color="auto" w:fill="E1E3F2"/>
          </w:tcPr>
          <w:p w14:paraId="6FF87185" w14:textId="77777777" w:rsidR="008E28A6" w:rsidRPr="004D5796" w:rsidRDefault="008E28A6" w:rsidP="00A572C5">
            <w:pPr>
              <w:pStyle w:val="TabletextrowsAgency"/>
              <w:spacing w:line="240" w:lineRule="auto"/>
            </w:pPr>
            <w:r w:rsidRPr="004D5796">
              <w:lastRenderedPageBreak/>
              <w:t>Lines 71-74</w:t>
            </w:r>
          </w:p>
        </w:tc>
        <w:tc>
          <w:tcPr>
            <w:tcW w:w="812" w:type="pct"/>
            <w:shd w:val="clear" w:color="auto" w:fill="E1E3F2"/>
          </w:tcPr>
          <w:p w14:paraId="2927E2A5" w14:textId="77777777" w:rsidR="008E28A6" w:rsidRPr="004D5796" w:rsidRDefault="008E28A6" w:rsidP="00A572C5">
            <w:pPr>
              <w:pStyle w:val="TabletextrowsAgency"/>
              <w:spacing w:line="240" w:lineRule="auto"/>
            </w:pPr>
          </w:p>
        </w:tc>
        <w:tc>
          <w:tcPr>
            <w:tcW w:w="2006" w:type="pct"/>
            <w:shd w:val="clear" w:color="auto" w:fill="E1E3F2"/>
          </w:tcPr>
          <w:p w14:paraId="7A2E99FF" w14:textId="77777777" w:rsidR="008E28A6" w:rsidRPr="004D5796" w:rsidRDefault="008E28A6" w:rsidP="00C44BB8">
            <w:pPr>
              <w:autoSpaceDE w:val="0"/>
              <w:autoSpaceDN w:val="0"/>
              <w:adjustRightInd w:val="0"/>
            </w:pPr>
            <w:r w:rsidRPr="004D5796">
              <w:t>Comment:  When considering the choice of inclusion criteria for nr-</w:t>
            </w:r>
            <w:proofErr w:type="spellStart"/>
            <w:r w:rsidR="00A25D6A">
              <w:t>ax</w:t>
            </w:r>
            <w:r w:rsidRPr="004D5796">
              <w:t>SpA</w:t>
            </w:r>
            <w:proofErr w:type="spellEnd"/>
            <w:r w:rsidRPr="004D5796">
              <w:t xml:space="preserve"> patients in a clinical study for the purpose of registration, it may be beneficial to have the x-ray grading according to the </w:t>
            </w:r>
            <w:proofErr w:type="spellStart"/>
            <w:r w:rsidR="00725B4C">
              <w:t>mNY</w:t>
            </w:r>
            <w:proofErr w:type="spellEnd"/>
            <w:r w:rsidRPr="004D5796">
              <w:t xml:space="preserve"> criteria (1984) and MRI inflammation scoring performed by a trained central reader </w:t>
            </w:r>
            <w:r w:rsidR="00AC4057">
              <w:t>or a trained local reader</w:t>
            </w:r>
            <w:r w:rsidRPr="004D5796">
              <w:t xml:space="preserve"> to minimize the risk of inclusion of patients with mechanical back pain or with radiographic AS (FDA Division Briefing Document for Arthritis Committee Meeting (2013</w:t>
            </w:r>
            <w:r w:rsidR="00A9596A">
              <w:t>).</w:t>
            </w:r>
          </w:p>
        </w:tc>
        <w:tc>
          <w:tcPr>
            <w:tcW w:w="1537" w:type="pct"/>
            <w:shd w:val="clear" w:color="auto" w:fill="E1E3F2"/>
          </w:tcPr>
          <w:p w14:paraId="68D6C578" w14:textId="77777777" w:rsidR="008E28A6" w:rsidRPr="004D5796" w:rsidRDefault="008E28A6">
            <w:pPr>
              <w:pStyle w:val="TabletextrowsAgency"/>
            </w:pPr>
          </w:p>
        </w:tc>
      </w:tr>
      <w:tr w:rsidR="008E28A6" w:rsidRPr="004D5796" w14:paraId="7F246BAB" w14:textId="77777777">
        <w:tc>
          <w:tcPr>
            <w:tcW w:w="645" w:type="pct"/>
            <w:shd w:val="clear" w:color="auto" w:fill="E1E3F2"/>
          </w:tcPr>
          <w:p w14:paraId="6605EAB7" w14:textId="77777777" w:rsidR="008E28A6" w:rsidRPr="004D5796" w:rsidRDefault="008E28A6" w:rsidP="000218B8">
            <w:pPr>
              <w:pStyle w:val="TabletextrowsAgency"/>
              <w:spacing w:line="240" w:lineRule="auto"/>
            </w:pPr>
            <w:r w:rsidRPr="004D5796">
              <w:t>Lines 72-73</w:t>
            </w:r>
          </w:p>
        </w:tc>
        <w:tc>
          <w:tcPr>
            <w:tcW w:w="812" w:type="pct"/>
            <w:shd w:val="clear" w:color="auto" w:fill="E1E3F2"/>
          </w:tcPr>
          <w:p w14:paraId="0C0A6159" w14:textId="77777777" w:rsidR="008E28A6" w:rsidRPr="004D5796" w:rsidRDefault="008E28A6" w:rsidP="000218B8">
            <w:pPr>
              <w:pStyle w:val="TabletextrowsAgency"/>
              <w:spacing w:line="240" w:lineRule="auto"/>
              <w:rPr>
                <w:b/>
              </w:rPr>
            </w:pPr>
          </w:p>
        </w:tc>
        <w:tc>
          <w:tcPr>
            <w:tcW w:w="2006" w:type="pct"/>
            <w:shd w:val="clear" w:color="auto" w:fill="E1E3F2"/>
          </w:tcPr>
          <w:p w14:paraId="05455845" w14:textId="77777777" w:rsidR="008E28A6" w:rsidRPr="004D5796" w:rsidRDefault="008E28A6" w:rsidP="00C44BB8">
            <w:pPr>
              <w:pStyle w:val="TabletextrowsAgency"/>
              <w:spacing w:line="240" w:lineRule="auto"/>
            </w:pPr>
            <w:r w:rsidRPr="004D5796">
              <w:t xml:space="preserve">Comment: The </w:t>
            </w:r>
            <w:r w:rsidR="00B5013B">
              <w:t>future guideline should, in</w:t>
            </w:r>
            <w:r w:rsidRPr="004D5796">
              <w:t xml:space="preserve"> addition to the ‘hard </w:t>
            </w:r>
            <w:r w:rsidR="009A305B" w:rsidRPr="004D5796">
              <w:t xml:space="preserve">clinical </w:t>
            </w:r>
            <w:r w:rsidRPr="004D5796">
              <w:t xml:space="preserve">endpoints’ such as ASDAS and ASAS20/40, </w:t>
            </w:r>
            <w:r w:rsidR="00B5013B">
              <w:t xml:space="preserve">also consider </w:t>
            </w:r>
            <w:r w:rsidRPr="004D5796">
              <w:t xml:space="preserve">treatment goals </w:t>
            </w:r>
            <w:r w:rsidR="00B5013B">
              <w:t>related to</w:t>
            </w:r>
            <w:r w:rsidRPr="004D5796">
              <w:t xml:space="preserve"> important patient-related features such as health-related quality of life, physical function, pain, work productivity and fatigue (</w:t>
            </w:r>
            <w:proofErr w:type="spellStart"/>
            <w:r w:rsidRPr="004D5796">
              <w:t>Smolen</w:t>
            </w:r>
            <w:proofErr w:type="spellEnd"/>
            <w:r w:rsidRPr="004D5796">
              <w:t xml:space="preserve"> JS, Braun J, </w:t>
            </w:r>
            <w:proofErr w:type="spellStart"/>
            <w:r w:rsidRPr="004D5796">
              <w:t>Dougados</w:t>
            </w:r>
            <w:proofErr w:type="spellEnd"/>
            <w:r w:rsidRPr="004D5796">
              <w:t xml:space="preserve"> M, et al. Treating </w:t>
            </w:r>
            <w:proofErr w:type="spellStart"/>
            <w:r w:rsidRPr="004D5796">
              <w:t>spondyloarthritis</w:t>
            </w:r>
            <w:proofErr w:type="spellEnd"/>
            <w:r w:rsidRPr="004D5796">
              <w:t>, including ankylosing spondylitis and psoriatic arthritis, to target: recommendations of an international task force, Ann Rheum Dis, 2013)</w:t>
            </w:r>
          </w:p>
          <w:p w14:paraId="505806BD" w14:textId="77777777" w:rsidR="008E28A6" w:rsidRPr="004D5796" w:rsidRDefault="008E28A6" w:rsidP="00C44BB8">
            <w:pPr>
              <w:pStyle w:val="TabletextrowsAgency"/>
              <w:spacing w:line="240" w:lineRule="auto"/>
            </w:pPr>
          </w:p>
          <w:p w14:paraId="5C0758ED" w14:textId="77777777" w:rsidR="008E28A6" w:rsidRPr="004D5796" w:rsidRDefault="008E28A6" w:rsidP="00C44BB8">
            <w:pPr>
              <w:pStyle w:val="TabletextrowsAgency"/>
              <w:spacing w:line="240" w:lineRule="auto"/>
            </w:pPr>
            <w:r w:rsidRPr="004D5796">
              <w:t>Proposed change (if any): No specific change proposed to the concept paper, but points above should be considered in the draft guideline.</w:t>
            </w:r>
          </w:p>
        </w:tc>
        <w:tc>
          <w:tcPr>
            <w:tcW w:w="1537" w:type="pct"/>
            <w:shd w:val="clear" w:color="auto" w:fill="E1E3F2"/>
          </w:tcPr>
          <w:p w14:paraId="20EB54E4" w14:textId="77777777" w:rsidR="008E28A6" w:rsidRPr="004D5796" w:rsidRDefault="008E28A6">
            <w:pPr>
              <w:pStyle w:val="TabletextrowsAgency"/>
            </w:pPr>
          </w:p>
        </w:tc>
      </w:tr>
      <w:tr w:rsidR="008E28A6" w:rsidRPr="004D5796" w14:paraId="467B3AB9" w14:textId="77777777" w:rsidTr="00122857">
        <w:tc>
          <w:tcPr>
            <w:tcW w:w="645" w:type="pct"/>
            <w:shd w:val="clear" w:color="auto" w:fill="E1E3F2"/>
          </w:tcPr>
          <w:p w14:paraId="33436BD8" w14:textId="77777777" w:rsidR="008E28A6" w:rsidRPr="004D5796" w:rsidRDefault="008E28A6" w:rsidP="00122857">
            <w:pPr>
              <w:pStyle w:val="TabletextrowsAgency"/>
            </w:pPr>
            <w:r w:rsidRPr="004D5796">
              <w:t>Line 74</w:t>
            </w:r>
          </w:p>
        </w:tc>
        <w:tc>
          <w:tcPr>
            <w:tcW w:w="812" w:type="pct"/>
            <w:shd w:val="clear" w:color="auto" w:fill="E1E3F2"/>
          </w:tcPr>
          <w:p w14:paraId="3C8D0686" w14:textId="77777777" w:rsidR="008E28A6" w:rsidRPr="004D5796" w:rsidRDefault="008E28A6" w:rsidP="003C06FC">
            <w:pPr>
              <w:pStyle w:val="TabletextrowsAgency"/>
            </w:pPr>
          </w:p>
        </w:tc>
        <w:tc>
          <w:tcPr>
            <w:tcW w:w="2006" w:type="pct"/>
            <w:shd w:val="clear" w:color="auto" w:fill="E1E3F2"/>
          </w:tcPr>
          <w:p w14:paraId="09402058" w14:textId="77777777" w:rsidR="00B5013B" w:rsidRPr="004D5796" w:rsidRDefault="008675E9" w:rsidP="00C44BB8">
            <w:pPr>
              <w:autoSpaceDE w:val="0"/>
              <w:autoSpaceDN w:val="0"/>
              <w:adjustRightInd w:val="0"/>
            </w:pPr>
            <w:r>
              <w:t>R</w:t>
            </w:r>
            <w:r w:rsidRPr="008675E9">
              <w:t xml:space="preserve">andomized withdrawal studies that address the possibility of discontinuing treatment after sufficient improvement </w:t>
            </w:r>
            <w:r>
              <w:t xml:space="preserve">have not been required for approval of compounds for the treatment of AS.  As such, this should also </w:t>
            </w:r>
            <w:r w:rsidRPr="008675E9">
              <w:t xml:space="preserve">not </w:t>
            </w:r>
            <w:r>
              <w:t xml:space="preserve">be </w:t>
            </w:r>
            <w:r w:rsidRPr="008675E9">
              <w:t>a prerequisite for approva</w:t>
            </w:r>
            <w:r>
              <w:t>l of</w:t>
            </w:r>
            <w:r w:rsidRPr="008675E9">
              <w:t xml:space="preserve"> a new medicinal product for axial </w:t>
            </w:r>
            <w:proofErr w:type="spellStart"/>
            <w:r w:rsidRPr="008675E9">
              <w:t>SpA</w:t>
            </w:r>
            <w:proofErr w:type="spellEnd"/>
            <w:r w:rsidRPr="008675E9">
              <w:t xml:space="preserve">.  </w:t>
            </w:r>
          </w:p>
        </w:tc>
        <w:tc>
          <w:tcPr>
            <w:tcW w:w="1537" w:type="pct"/>
            <w:shd w:val="clear" w:color="auto" w:fill="E1E3F2"/>
          </w:tcPr>
          <w:p w14:paraId="7C258564" w14:textId="77777777" w:rsidR="008E28A6" w:rsidRPr="004D5796" w:rsidRDefault="008E28A6" w:rsidP="00122857">
            <w:pPr>
              <w:pStyle w:val="TabletextrowsAgency"/>
            </w:pPr>
          </w:p>
        </w:tc>
      </w:tr>
      <w:tr w:rsidR="008E28A6" w:rsidRPr="004D5796" w14:paraId="5B0D792B" w14:textId="77777777" w:rsidTr="00122857">
        <w:tc>
          <w:tcPr>
            <w:tcW w:w="645" w:type="pct"/>
            <w:shd w:val="clear" w:color="auto" w:fill="E1E3F2"/>
          </w:tcPr>
          <w:p w14:paraId="0088AC8B" w14:textId="77777777" w:rsidR="008E28A6" w:rsidRPr="004D5796" w:rsidRDefault="008E28A6" w:rsidP="00122857">
            <w:pPr>
              <w:pStyle w:val="TabletextrowsAgency"/>
            </w:pPr>
            <w:r w:rsidRPr="004D5796">
              <w:t>Lines 77-80</w:t>
            </w:r>
          </w:p>
        </w:tc>
        <w:tc>
          <w:tcPr>
            <w:tcW w:w="812" w:type="pct"/>
            <w:shd w:val="clear" w:color="auto" w:fill="E1E3F2"/>
          </w:tcPr>
          <w:p w14:paraId="1650021A" w14:textId="77777777" w:rsidR="008E28A6" w:rsidRPr="004D5796" w:rsidRDefault="008E28A6" w:rsidP="003C06FC">
            <w:pPr>
              <w:pStyle w:val="TabletextrowsAgency"/>
            </w:pPr>
          </w:p>
        </w:tc>
        <w:tc>
          <w:tcPr>
            <w:tcW w:w="2006" w:type="pct"/>
            <w:shd w:val="clear" w:color="auto" w:fill="E1E3F2"/>
          </w:tcPr>
          <w:p w14:paraId="166D5C5E" w14:textId="77777777" w:rsidR="008E28A6" w:rsidRPr="004D5796" w:rsidRDefault="008E28A6" w:rsidP="00C44BB8">
            <w:pPr>
              <w:pStyle w:val="TabletextrowsAgency"/>
              <w:spacing w:line="240" w:lineRule="auto"/>
            </w:pPr>
            <w:r w:rsidRPr="004D5796">
              <w:t>Comment:</w:t>
            </w:r>
          </w:p>
          <w:p w14:paraId="7C7D349C" w14:textId="77777777" w:rsidR="008E28A6" w:rsidRPr="004D5796" w:rsidRDefault="008E28A6" w:rsidP="00C44BB8">
            <w:pPr>
              <w:pStyle w:val="TabletextrowsAgency"/>
              <w:spacing w:line="240" w:lineRule="auto"/>
            </w:pPr>
            <w:r w:rsidRPr="004D5796">
              <w:t xml:space="preserve">The ASAS criteria for axial </w:t>
            </w:r>
            <w:proofErr w:type="spellStart"/>
            <w:r w:rsidRPr="004D5796">
              <w:t>SpA</w:t>
            </w:r>
            <w:proofErr w:type="spellEnd"/>
            <w:r w:rsidRPr="004D5796">
              <w:t xml:space="preserve"> do not create a significantly </w:t>
            </w:r>
            <w:r w:rsidRPr="004D5796">
              <w:lastRenderedPageBreak/>
              <w:t>less well-defined disease state for those patients with nr-</w:t>
            </w:r>
            <w:proofErr w:type="spellStart"/>
            <w:r w:rsidRPr="004D5796">
              <w:t>axSpA</w:t>
            </w:r>
            <w:proofErr w:type="spellEnd"/>
            <w:r w:rsidRPr="004D5796">
              <w:t xml:space="preserve"> as compared to AS. While the </w:t>
            </w:r>
            <w:proofErr w:type="spellStart"/>
            <w:r w:rsidR="00725B4C">
              <w:t>mNY</w:t>
            </w:r>
            <w:proofErr w:type="spellEnd"/>
            <w:r w:rsidRPr="004D5796">
              <w:t xml:space="preserve"> criteria do have a higher specificity, this is at the expense of a low sensitivity as these criteria are weighted heavily on permanent x-ray damage in the SI joints and do not take into consideration that patients with no current SI joint damage or a minimal amount of radiographic damage are excluded from classification and additionally do not consider the majority of clinical features used in practice to make a diagnosis. Nr-</w:t>
            </w:r>
            <w:proofErr w:type="spellStart"/>
            <w:r w:rsidRPr="004D5796">
              <w:t>axSpA</w:t>
            </w:r>
            <w:proofErr w:type="spellEnd"/>
            <w:r w:rsidRPr="004D5796">
              <w:t xml:space="preserve"> patients were considered to have axial </w:t>
            </w:r>
            <w:proofErr w:type="spellStart"/>
            <w:r w:rsidRPr="004D5796">
              <w:t>SpA</w:t>
            </w:r>
            <w:proofErr w:type="spellEnd"/>
            <w:r w:rsidRPr="004D5796">
              <w:t xml:space="preserve"> (though often called by other names such as undifferentiated </w:t>
            </w:r>
            <w:proofErr w:type="spellStart"/>
            <w:r w:rsidRPr="004D5796">
              <w:t>SpA</w:t>
            </w:r>
            <w:proofErr w:type="spellEnd"/>
            <w:r w:rsidRPr="004D5796">
              <w:t xml:space="preserve"> or pre-radiographic axial </w:t>
            </w:r>
            <w:proofErr w:type="spellStart"/>
            <w:r w:rsidRPr="004D5796">
              <w:t>SpA</w:t>
            </w:r>
            <w:proofErr w:type="spellEnd"/>
            <w:r w:rsidRPr="004D5796">
              <w:t xml:space="preserve">) prior to the development of the ASAS classification criteria and in fact the criteria include the factors which a physician considers when making a diagnosis of axial </w:t>
            </w:r>
            <w:proofErr w:type="spellStart"/>
            <w:r w:rsidRPr="004D5796">
              <w:t>SpA</w:t>
            </w:r>
            <w:proofErr w:type="spellEnd"/>
            <w:r w:rsidRPr="004D5796">
              <w:t xml:space="preserve">. As such, the external validity of study results is increased, not decreased by inclusion of all patients with axial </w:t>
            </w:r>
            <w:proofErr w:type="spellStart"/>
            <w:r w:rsidRPr="004D5796">
              <w:t>SpA</w:t>
            </w:r>
            <w:proofErr w:type="spellEnd"/>
            <w:r w:rsidRPr="004D5796">
              <w:t xml:space="preserve"> who are currently being seen in rheumatology practices. </w:t>
            </w:r>
          </w:p>
          <w:p w14:paraId="6A583E8A" w14:textId="77777777" w:rsidR="008E28A6" w:rsidRPr="004D5796" w:rsidRDefault="008E28A6" w:rsidP="00C44BB8">
            <w:pPr>
              <w:pStyle w:val="TabletextrowsAgency"/>
              <w:spacing w:line="240" w:lineRule="auto"/>
            </w:pPr>
            <w:r w:rsidRPr="004D5796">
              <w:t xml:space="preserve">Furthermore, inflammatory back pain (IBP) is only a symptom and by itself does not equal to a diagnosis of any specific disease (Van den Berg et al. </w:t>
            </w:r>
            <w:r w:rsidRPr="004D5796">
              <w:rPr>
                <w:rStyle w:val="jrnl"/>
                <w:rFonts w:cs="Arial"/>
              </w:rPr>
              <w:t>Ann Rheum Dis</w:t>
            </w:r>
            <w:r w:rsidRPr="004D5796">
              <w:rPr>
                <w:rFonts w:cs="Arial"/>
              </w:rPr>
              <w:t>. 2013 Oct;72(10):1646-53.)</w:t>
            </w:r>
            <w:r w:rsidRPr="004D5796">
              <w:t xml:space="preserve">. The sensitivity and specificity for IBP in the diagnosis of axial </w:t>
            </w:r>
            <w:proofErr w:type="spellStart"/>
            <w:r w:rsidRPr="004D5796">
              <w:t>SpA</w:t>
            </w:r>
            <w:proofErr w:type="spellEnd"/>
            <w:r w:rsidRPr="004D5796">
              <w:t xml:space="preserve"> are about 75% each (</w:t>
            </w:r>
            <w:r w:rsidRPr="004D5796">
              <w:rPr>
                <w:rStyle w:val="jrnl"/>
                <w:rFonts w:cs="Arial"/>
              </w:rPr>
              <w:t>Ann Rheum Dis</w:t>
            </w:r>
            <w:r w:rsidRPr="004D5796">
              <w:rPr>
                <w:rFonts w:cs="Arial"/>
              </w:rPr>
              <w:t xml:space="preserve">. 2006 Sep;65(9):1251-2. </w:t>
            </w:r>
            <w:r w:rsidRPr="004D5796">
              <w:rPr>
                <w:rStyle w:val="jrnl"/>
                <w:rFonts w:cs="Arial"/>
              </w:rPr>
              <w:t>Arthritis Rheum</w:t>
            </w:r>
            <w:r w:rsidRPr="004D5796">
              <w:rPr>
                <w:rFonts w:cs="Arial"/>
              </w:rPr>
              <w:t xml:space="preserve">. 2005 Apr;52(4):1000-8). </w:t>
            </w:r>
            <w:r w:rsidRPr="004D5796">
              <w:t xml:space="preserve"> </w:t>
            </w:r>
          </w:p>
          <w:p w14:paraId="56643216" w14:textId="77777777" w:rsidR="008E28A6" w:rsidRPr="004D5796" w:rsidRDefault="008E28A6" w:rsidP="00C44BB8">
            <w:pPr>
              <w:pStyle w:val="TabletextrowsAgency"/>
              <w:spacing w:line="240" w:lineRule="auto"/>
            </w:pPr>
            <w:r w:rsidRPr="004D5796">
              <w:t xml:space="preserve">The ASAS classification criteria on axial </w:t>
            </w:r>
            <w:proofErr w:type="spellStart"/>
            <w:r w:rsidRPr="004D5796">
              <w:t>SpA</w:t>
            </w:r>
            <w:proofErr w:type="spellEnd"/>
            <w:r w:rsidRPr="004D5796">
              <w:t xml:space="preserve"> are classification and not diagnostic criteria (Braun et al. </w:t>
            </w:r>
            <w:r w:rsidRPr="004D5796">
              <w:rPr>
                <w:rStyle w:val="jrnl"/>
                <w:rFonts w:cs="Arial"/>
              </w:rPr>
              <w:t xml:space="preserve">J </w:t>
            </w:r>
            <w:proofErr w:type="spellStart"/>
            <w:r w:rsidRPr="004D5796">
              <w:rPr>
                <w:rStyle w:val="jrnl"/>
                <w:rFonts w:cs="Arial"/>
              </w:rPr>
              <w:t>Rheumatol</w:t>
            </w:r>
            <w:proofErr w:type="spellEnd"/>
            <w:r w:rsidRPr="004D5796">
              <w:rPr>
                <w:rFonts w:cs="Arial"/>
              </w:rPr>
              <w:t>. 2015 Jan;42(1):31-8.)</w:t>
            </w:r>
            <w:r w:rsidRPr="004D5796">
              <w:t xml:space="preserve">. As such, patients should first be diagnosed with axial </w:t>
            </w:r>
            <w:proofErr w:type="spellStart"/>
            <w:r w:rsidRPr="004D5796">
              <w:t>SpA</w:t>
            </w:r>
            <w:proofErr w:type="spellEnd"/>
            <w:r w:rsidRPr="004D5796">
              <w:t xml:space="preserve"> (AS or nr-</w:t>
            </w:r>
            <w:proofErr w:type="spellStart"/>
            <w:r w:rsidRPr="004D5796">
              <w:t>axSpA</w:t>
            </w:r>
            <w:proofErr w:type="spellEnd"/>
            <w:r w:rsidRPr="004D5796">
              <w:t>) by rheumatologists (</w:t>
            </w:r>
            <w:r w:rsidRPr="004D5796">
              <w:rPr>
                <w:rStyle w:val="jrnl"/>
                <w:rFonts w:cs="Arial"/>
              </w:rPr>
              <w:t>Ann Rheum Dis</w:t>
            </w:r>
            <w:r w:rsidRPr="004D5796">
              <w:rPr>
                <w:rFonts w:cs="Arial"/>
              </w:rPr>
              <w:t>. 2013 Oct;72(10):1646-53.</w:t>
            </w:r>
            <w:r w:rsidRPr="004D5796">
              <w:t>) prior to application of the ASAS classification criteria for inclusion in a clinical trial. As such, the ASAS classification criteria increase homogeneity of the study population.</w:t>
            </w:r>
          </w:p>
          <w:p w14:paraId="5CE25CCB" w14:textId="77777777" w:rsidR="008E28A6" w:rsidRPr="004D5796" w:rsidRDefault="008E28A6" w:rsidP="00C44BB8">
            <w:pPr>
              <w:pStyle w:val="TabletextrowsAgency"/>
              <w:spacing w:line="240" w:lineRule="auto"/>
              <w:rPr>
                <w:rFonts w:cs="AdvOTb92eb7df.I"/>
                <w:lang w:val="en-US" w:eastAsia="en-US"/>
              </w:rPr>
            </w:pPr>
            <w:r w:rsidRPr="004D5796">
              <w:t xml:space="preserve">Earlier diagnosis of all disease is a goal as this can facilitate appropriate and timely treatment to address current signs and </w:t>
            </w:r>
            <w:r w:rsidRPr="004D5796">
              <w:lastRenderedPageBreak/>
              <w:t>symptoms and to prevent</w:t>
            </w:r>
            <w:r w:rsidR="00C15741">
              <w:t xml:space="preserve"> unnecessary investigations, loss of </w:t>
            </w:r>
            <w:r w:rsidR="004A086A">
              <w:t>function, and, in some cases, may have the potential to prevent</w:t>
            </w:r>
            <w:r w:rsidRPr="004D5796">
              <w:t xml:space="preserve"> long-term damage/progression.  While attempts for earlier diagnosis can lead to “less well defined disease” and increase the risk for an incorrect diagnosis this is not specific to axial </w:t>
            </w:r>
            <w:proofErr w:type="spellStart"/>
            <w:r w:rsidRPr="004D5796">
              <w:t>SpA</w:t>
            </w:r>
            <w:proofErr w:type="spellEnd"/>
            <w:r w:rsidRPr="004D5796">
              <w:t xml:space="preserve">. For example, the introduction of the 2010 ACR / EULAR criteria for Rheumatoid Arthritis bear the same issue of “less well defined disease”. The 2010 ACR/EULAR criteria result in </w:t>
            </w:r>
            <w:r w:rsidRPr="004D5796">
              <w:rPr>
                <w:lang w:val="en-US"/>
              </w:rPr>
              <w:t xml:space="preserve">a pooled sensitivity of 82% and specificity of 61% across 17 studies.  </w:t>
            </w:r>
            <w:r w:rsidRPr="004D5796">
              <w:rPr>
                <w:rFonts w:cs="AdvOTb92eb7df.I"/>
                <w:lang w:val="en-US" w:eastAsia="en-US"/>
              </w:rPr>
              <w:t xml:space="preserve">As compared to the classification criteria for RA, the ASAS axial </w:t>
            </w:r>
            <w:proofErr w:type="spellStart"/>
            <w:r w:rsidRPr="004D5796">
              <w:rPr>
                <w:rFonts w:cs="AdvOTb92eb7df.I"/>
                <w:lang w:val="en-US" w:eastAsia="en-US"/>
              </w:rPr>
              <w:t>SpA</w:t>
            </w:r>
            <w:proofErr w:type="spellEnd"/>
            <w:r w:rsidRPr="004D5796">
              <w:rPr>
                <w:rFonts w:cs="AdvOTb92eb7df.I"/>
                <w:lang w:val="en-US" w:eastAsia="en-US"/>
              </w:rPr>
              <w:t xml:space="preserve"> classification criteria have similar reported sensitivity of 82.9% and superior specificity of 84.4%. (</w:t>
            </w:r>
            <w:proofErr w:type="spellStart"/>
            <w:r w:rsidRPr="004D5796">
              <w:rPr>
                <w:rFonts w:cs="AdvOTb92eb7df.I"/>
                <w:lang w:eastAsia="en-US"/>
              </w:rPr>
              <w:t>Rudwaleit</w:t>
            </w:r>
            <w:proofErr w:type="spellEnd"/>
            <w:r w:rsidRPr="004D5796">
              <w:rPr>
                <w:rFonts w:cs="AdvOTb92eb7df.I"/>
                <w:lang w:eastAsia="en-US"/>
              </w:rPr>
              <w:t xml:space="preserve"> et al. 2009;68:777-783)</w:t>
            </w:r>
          </w:p>
          <w:p w14:paraId="730EB9AD" w14:textId="77777777" w:rsidR="008E28A6" w:rsidRPr="004D5796" w:rsidRDefault="008E28A6" w:rsidP="00C44BB8">
            <w:pPr>
              <w:pStyle w:val="TabletextrowsAgency"/>
              <w:spacing w:line="240" w:lineRule="auto"/>
            </w:pPr>
          </w:p>
          <w:p w14:paraId="16F60B33" w14:textId="77777777" w:rsidR="008E28A6" w:rsidRPr="004D5796" w:rsidRDefault="008E28A6" w:rsidP="00C44BB8">
            <w:pPr>
              <w:pStyle w:val="TabletextrowsAgency"/>
              <w:spacing w:line="240" w:lineRule="auto"/>
            </w:pPr>
            <w:r w:rsidRPr="004D5796">
              <w:t>Proposed change: Delete the phrase “less well defined disease” and delete or revise the statements that follow – “This will likely result in less external validity of the study results. Misspecification with mechanical non-inflammatory back pain may occur”</w:t>
            </w:r>
          </w:p>
        </w:tc>
        <w:tc>
          <w:tcPr>
            <w:tcW w:w="1537" w:type="pct"/>
            <w:shd w:val="clear" w:color="auto" w:fill="E1E3F2"/>
          </w:tcPr>
          <w:p w14:paraId="781865FC" w14:textId="77777777" w:rsidR="008E28A6" w:rsidRPr="004D5796" w:rsidRDefault="008E28A6" w:rsidP="00122857">
            <w:pPr>
              <w:pStyle w:val="TabletextrowsAgency"/>
            </w:pPr>
          </w:p>
        </w:tc>
      </w:tr>
      <w:tr w:rsidR="0091320A" w:rsidRPr="004D5796" w14:paraId="5BD85BED" w14:textId="77777777">
        <w:tc>
          <w:tcPr>
            <w:tcW w:w="645" w:type="pct"/>
            <w:shd w:val="clear" w:color="auto" w:fill="E1E3F2"/>
          </w:tcPr>
          <w:p w14:paraId="2EEE53F1" w14:textId="77777777" w:rsidR="0091320A" w:rsidRPr="004D5796" w:rsidRDefault="0091320A" w:rsidP="00892C75">
            <w:pPr>
              <w:pStyle w:val="TabletextrowsAgency"/>
              <w:spacing w:line="240" w:lineRule="auto"/>
            </w:pPr>
            <w:r w:rsidRPr="004D5796">
              <w:lastRenderedPageBreak/>
              <w:t>Lines 78-80</w:t>
            </w:r>
          </w:p>
        </w:tc>
        <w:tc>
          <w:tcPr>
            <w:tcW w:w="812" w:type="pct"/>
            <w:shd w:val="clear" w:color="auto" w:fill="E1E3F2"/>
          </w:tcPr>
          <w:p w14:paraId="08171EEB" w14:textId="77777777" w:rsidR="0091320A" w:rsidRPr="004D5796" w:rsidRDefault="0091320A" w:rsidP="00892C75">
            <w:pPr>
              <w:pStyle w:val="TabletextrowsAgency"/>
              <w:spacing w:line="240" w:lineRule="auto"/>
              <w:rPr>
                <w:b/>
              </w:rPr>
            </w:pPr>
          </w:p>
        </w:tc>
        <w:tc>
          <w:tcPr>
            <w:tcW w:w="2006" w:type="pct"/>
            <w:shd w:val="clear" w:color="auto" w:fill="E1E3F2"/>
          </w:tcPr>
          <w:p w14:paraId="7A09D317" w14:textId="77777777" w:rsidR="0091320A" w:rsidRPr="004D5796" w:rsidRDefault="0091320A" w:rsidP="00C44BB8">
            <w:pPr>
              <w:pStyle w:val="TabletextrowsAgency"/>
              <w:spacing w:line="240" w:lineRule="auto"/>
            </w:pPr>
            <w:r w:rsidRPr="004D5796">
              <w:t xml:space="preserve">Comment: What distinguishes between inflammatory and non-inflammatory back pain requires clear explanation in the guideline </w:t>
            </w:r>
          </w:p>
          <w:p w14:paraId="65F4229F" w14:textId="77777777" w:rsidR="0091320A" w:rsidRPr="004D5796" w:rsidRDefault="0091320A" w:rsidP="00C44BB8">
            <w:pPr>
              <w:pStyle w:val="TabletextrowsAgency"/>
              <w:spacing w:line="240" w:lineRule="auto"/>
            </w:pPr>
          </w:p>
          <w:p w14:paraId="61E124F9" w14:textId="77777777" w:rsidR="0091320A" w:rsidRPr="004D5796" w:rsidRDefault="0091320A" w:rsidP="00C44BB8">
            <w:pPr>
              <w:pStyle w:val="TabletextrowsAgency"/>
              <w:spacing w:line="240" w:lineRule="auto"/>
            </w:pPr>
            <w:r w:rsidRPr="004D5796">
              <w:t>Proposed change (if any): Provide clarity on the exclusion of non-inflammatory back pain in the study population</w:t>
            </w:r>
            <w:r w:rsidR="008120A2">
              <w:t xml:space="preserve"> </w:t>
            </w:r>
            <w:r w:rsidR="00B26AF0" w:rsidRPr="004D5796">
              <w:t>i.e.</w:t>
            </w:r>
            <w:r w:rsidR="00B26AF0">
              <w:t xml:space="preserve"> by an accepted/published clinical definition of IBP.</w:t>
            </w:r>
          </w:p>
        </w:tc>
        <w:tc>
          <w:tcPr>
            <w:tcW w:w="1537" w:type="pct"/>
            <w:shd w:val="clear" w:color="auto" w:fill="E1E3F2"/>
          </w:tcPr>
          <w:p w14:paraId="15543DED" w14:textId="77777777" w:rsidR="0091320A" w:rsidRPr="004D5796" w:rsidRDefault="0091320A">
            <w:pPr>
              <w:pStyle w:val="TabletextrowsAgency"/>
            </w:pPr>
          </w:p>
        </w:tc>
      </w:tr>
      <w:tr w:rsidR="008E28A6" w:rsidRPr="004D5796" w14:paraId="3C36E18F" w14:textId="77777777" w:rsidTr="00122857">
        <w:tc>
          <w:tcPr>
            <w:tcW w:w="645" w:type="pct"/>
            <w:shd w:val="clear" w:color="auto" w:fill="E1E3F2"/>
          </w:tcPr>
          <w:p w14:paraId="164B8118" w14:textId="77777777" w:rsidR="008E28A6" w:rsidRPr="004D5796" w:rsidRDefault="008E28A6" w:rsidP="00122857">
            <w:pPr>
              <w:pStyle w:val="TabletextrowsAgency"/>
            </w:pPr>
            <w:r w:rsidRPr="004D5796">
              <w:t>Line 80/81</w:t>
            </w:r>
          </w:p>
        </w:tc>
        <w:tc>
          <w:tcPr>
            <w:tcW w:w="812" w:type="pct"/>
            <w:shd w:val="clear" w:color="auto" w:fill="E1E3F2"/>
          </w:tcPr>
          <w:p w14:paraId="69A44212" w14:textId="77777777" w:rsidR="008E28A6" w:rsidRPr="004D5796" w:rsidRDefault="008E28A6" w:rsidP="006D0986">
            <w:pPr>
              <w:pStyle w:val="TabletextrowsAgency"/>
            </w:pPr>
          </w:p>
        </w:tc>
        <w:tc>
          <w:tcPr>
            <w:tcW w:w="2006" w:type="pct"/>
            <w:shd w:val="clear" w:color="auto" w:fill="E1E3F2"/>
          </w:tcPr>
          <w:p w14:paraId="5D8789E6" w14:textId="77777777" w:rsidR="008E28A6" w:rsidRPr="004D5796" w:rsidRDefault="008E28A6" w:rsidP="00C44BB8">
            <w:pPr>
              <w:pStyle w:val="TabletextrowsAgency"/>
              <w:spacing w:line="240" w:lineRule="auto"/>
            </w:pPr>
            <w:r w:rsidRPr="004D5796">
              <w:t xml:space="preserve">Comment: </w:t>
            </w:r>
          </w:p>
          <w:p w14:paraId="33C222D5" w14:textId="77777777" w:rsidR="008E28A6" w:rsidRPr="004D5796" w:rsidRDefault="008E28A6" w:rsidP="00C44BB8">
            <w:pPr>
              <w:autoSpaceDE w:val="0"/>
              <w:autoSpaceDN w:val="0"/>
              <w:adjustRightInd w:val="0"/>
            </w:pPr>
            <w:r w:rsidRPr="004D5796">
              <w:t>It is not correct that validating imaging scores for nr-</w:t>
            </w:r>
            <w:proofErr w:type="spellStart"/>
            <w:r w:rsidRPr="004D5796">
              <w:t>axSpA</w:t>
            </w:r>
            <w:proofErr w:type="spellEnd"/>
            <w:r w:rsidRPr="004D5796">
              <w:t xml:space="preserve"> is a challenge.  The </w:t>
            </w:r>
            <w:proofErr w:type="spellStart"/>
            <w:r w:rsidRPr="004D5796">
              <w:rPr>
                <w:rFonts w:cs="AdvTT5bf2ac07"/>
                <w:lang w:val="en-US" w:eastAsia="en-US"/>
              </w:rPr>
              <w:t>Spondyloarthritis</w:t>
            </w:r>
            <w:proofErr w:type="spellEnd"/>
            <w:r w:rsidRPr="004D5796">
              <w:rPr>
                <w:rFonts w:cs="AdvTT5bf2ac07"/>
                <w:lang w:val="en-US" w:eastAsia="en-US"/>
              </w:rPr>
              <w:t xml:space="preserve"> Research Consortium of Canada (SPARCC) MRI scores for the sacroiliac (SI) joints (0</w:t>
            </w:r>
            <w:r w:rsidRPr="004D5796">
              <w:rPr>
                <w:rFonts w:cs="AdvTT5bf2ac07+20"/>
                <w:lang w:val="en-US" w:eastAsia="en-US"/>
              </w:rPr>
              <w:t>–</w:t>
            </w:r>
            <w:r w:rsidRPr="004D5796">
              <w:rPr>
                <w:rFonts w:cs="AdvTT5bf2ac07"/>
                <w:lang w:val="en-US" w:eastAsia="en-US"/>
              </w:rPr>
              <w:t>72) and the spine (0</w:t>
            </w:r>
            <w:r w:rsidRPr="004D5796">
              <w:rPr>
                <w:rFonts w:cs="AdvTT5bf2ac07+20"/>
                <w:lang w:val="en-US" w:eastAsia="en-US"/>
              </w:rPr>
              <w:t>–</w:t>
            </w:r>
            <w:r w:rsidRPr="004D5796">
              <w:rPr>
                <w:rFonts w:cs="AdvTT5bf2ac07"/>
                <w:lang w:val="en-US" w:eastAsia="en-US"/>
              </w:rPr>
              <w:t>108) have been successfully used in at least 2 phase 3 trials of anti-TNF that included patients with nr-</w:t>
            </w:r>
            <w:proofErr w:type="spellStart"/>
            <w:r w:rsidRPr="004D5796">
              <w:rPr>
                <w:rFonts w:cs="AdvTT5bf2ac07"/>
                <w:lang w:val="en-US" w:eastAsia="en-US"/>
              </w:rPr>
              <w:t>axSpA</w:t>
            </w:r>
            <w:proofErr w:type="spellEnd"/>
            <w:r w:rsidRPr="004D5796">
              <w:rPr>
                <w:rFonts w:cs="AdvTT5bf2ac07"/>
                <w:lang w:val="en-US" w:eastAsia="en-US"/>
              </w:rPr>
              <w:t xml:space="preserve"> (</w:t>
            </w:r>
            <w:proofErr w:type="spellStart"/>
            <w:r w:rsidRPr="004D5796">
              <w:rPr>
                <w:rFonts w:cs="AdvTT5bf2ac07"/>
                <w:lang w:val="en-US" w:eastAsia="en-US"/>
              </w:rPr>
              <w:t>adalimumab</w:t>
            </w:r>
            <w:proofErr w:type="spellEnd"/>
            <w:r w:rsidRPr="004D5796">
              <w:rPr>
                <w:rFonts w:cs="AdvTT5bf2ac07"/>
                <w:lang w:val="en-US" w:eastAsia="en-US"/>
              </w:rPr>
              <w:t xml:space="preserve">: </w:t>
            </w:r>
            <w:r w:rsidRPr="004D5796">
              <w:t xml:space="preserve">EMEA/H/C/000481; and </w:t>
            </w:r>
            <w:proofErr w:type="spellStart"/>
            <w:r w:rsidRPr="004D5796">
              <w:lastRenderedPageBreak/>
              <w:t>certolizumab</w:t>
            </w:r>
            <w:proofErr w:type="spellEnd"/>
            <w:r w:rsidRPr="004D5796">
              <w:t>: EMEA/H/C/001037</w:t>
            </w:r>
            <w:r w:rsidRPr="004D5796">
              <w:rPr>
                <w:rFonts w:cs="AdvTT5bf2ac07"/>
                <w:lang w:val="en-US" w:eastAsia="en-US"/>
              </w:rPr>
              <w:t xml:space="preserve">).  The scoring system discriminated between active treatment versus placebo with improvements in the score significantly greater with active treatment. </w:t>
            </w:r>
            <w:r w:rsidR="00FB5842" w:rsidRPr="004D5796">
              <w:rPr>
                <w:rFonts w:cs="AdvTT5bf2ac07"/>
                <w:lang w:val="en-US" w:eastAsia="en-US"/>
              </w:rPr>
              <w:t xml:space="preserve">Also, </w:t>
            </w:r>
            <w:r w:rsidR="002A50ED" w:rsidRPr="004D5796">
              <w:rPr>
                <w:rFonts w:cs="AdvTT5bf2ac07"/>
                <w:lang w:val="en-US" w:eastAsia="en-US"/>
              </w:rPr>
              <w:t xml:space="preserve">through </w:t>
            </w:r>
            <w:r w:rsidR="00FB5842" w:rsidRPr="004D5796">
              <w:rPr>
                <w:rFonts w:cs="AdvTT5bf2ac07"/>
                <w:lang w:val="en-US" w:eastAsia="en-US"/>
              </w:rPr>
              <w:t>further improvements in imaging techniques, more sensitive measures and scoring systems may emerge in the future and the guideline should allow flexibility for using such imaging scores once appropriately validated.</w:t>
            </w:r>
            <w:r w:rsidRPr="004D5796">
              <w:rPr>
                <w:rFonts w:cs="AdvTT5bf2ac07"/>
                <w:lang w:val="en-US" w:eastAsia="en-US"/>
              </w:rPr>
              <w:t xml:space="preserve"> </w:t>
            </w:r>
          </w:p>
          <w:p w14:paraId="39BF1CE5" w14:textId="77777777" w:rsidR="008E28A6" w:rsidRPr="004D5796" w:rsidRDefault="008E28A6" w:rsidP="00C44BB8">
            <w:pPr>
              <w:pStyle w:val="TabletextrowsAgency"/>
              <w:spacing w:line="240" w:lineRule="auto"/>
            </w:pPr>
          </w:p>
          <w:p w14:paraId="73C45D06" w14:textId="77777777" w:rsidR="008E28A6" w:rsidRPr="004D5796" w:rsidRDefault="008E28A6" w:rsidP="00C44BB8">
            <w:pPr>
              <w:pStyle w:val="TabletextrowsAgency"/>
              <w:spacing w:line="240" w:lineRule="auto"/>
            </w:pPr>
            <w:r w:rsidRPr="004D5796">
              <w:t xml:space="preserve">Proposed change (if any): delete or modify sentence. </w:t>
            </w:r>
            <w:r w:rsidR="00FB5842" w:rsidRPr="004D5796">
              <w:t>Allow flexibility in the use of validated imaging scores.</w:t>
            </w:r>
          </w:p>
        </w:tc>
        <w:tc>
          <w:tcPr>
            <w:tcW w:w="1537" w:type="pct"/>
            <w:shd w:val="clear" w:color="auto" w:fill="E1E3F2"/>
          </w:tcPr>
          <w:p w14:paraId="4F31953B" w14:textId="77777777" w:rsidR="008E28A6" w:rsidRPr="004D5796" w:rsidRDefault="008E28A6" w:rsidP="00122857">
            <w:pPr>
              <w:pStyle w:val="TabletextrowsAgency"/>
            </w:pPr>
          </w:p>
        </w:tc>
      </w:tr>
      <w:tr w:rsidR="008E28A6" w:rsidRPr="004D5796" w14:paraId="5ED0D376" w14:textId="77777777" w:rsidTr="00122857">
        <w:tc>
          <w:tcPr>
            <w:tcW w:w="645" w:type="pct"/>
            <w:shd w:val="clear" w:color="auto" w:fill="E1E3F2"/>
          </w:tcPr>
          <w:p w14:paraId="2077FEB9" w14:textId="77777777" w:rsidR="008E28A6" w:rsidRPr="004D5796" w:rsidRDefault="008E28A6" w:rsidP="00122857">
            <w:pPr>
              <w:pStyle w:val="TabletextrowsAgency"/>
            </w:pPr>
            <w:r w:rsidRPr="004D5796">
              <w:lastRenderedPageBreak/>
              <w:t>Line 82/83</w:t>
            </w:r>
          </w:p>
        </w:tc>
        <w:tc>
          <w:tcPr>
            <w:tcW w:w="812" w:type="pct"/>
            <w:shd w:val="clear" w:color="auto" w:fill="E1E3F2"/>
          </w:tcPr>
          <w:p w14:paraId="3673B588" w14:textId="77777777" w:rsidR="008E28A6" w:rsidRPr="004D5796" w:rsidRDefault="008E28A6" w:rsidP="003C06FC">
            <w:pPr>
              <w:pStyle w:val="TabletextrowsAgency"/>
            </w:pPr>
          </w:p>
        </w:tc>
        <w:tc>
          <w:tcPr>
            <w:tcW w:w="2006" w:type="pct"/>
            <w:shd w:val="clear" w:color="auto" w:fill="E1E3F2"/>
          </w:tcPr>
          <w:p w14:paraId="1007F056" w14:textId="77777777" w:rsidR="008E28A6" w:rsidRPr="004D5796" w:rsidRDefault="008E28A6" w:rsidP="00C44BB8">
            <w:pPr>
              <w:pStyle w:val="TabletextrowsAgency"/>
              <w:spacing w:line="240" w:lineRule="auto"/>
            </w:pPr>
            <w:r w:rsidRPr="004D5796">
              <w:t>Comment: Clinical trials include patients who are candidates for new therapies due to sufficiently active disease that require further intervention</w:t>
            </w:r>
            <w:r w:rsidR="00FC5ADF">
              <w:t xml:space="preserve"> rather than the severity of the disease historically; conversely pts with historical severe disease may not have current disease activity </w:t>
            </w:r>
            <w:r w:rsidRPr="004D5796">
              <w:t xml:space="preserve">.  As such, prescribing information would also reflect the need for active disease that could benefit from the therapy.  In clinical practice, physicians make benefit-risk decisions when prescribing new therapies and are in the best position to make the right recommendation for individual patients.  </w:t>
            </w:r>
          </w:p>
          <w:p w14:paraId="1B9BC320" w14:textId="77777777" w:rsidR="008E28A6" w:rsidRPr="004D5796" w:rsidRDefault="008E28A6" w:rsidP="00C44BB8">
            <w:pPr>
              <w:pStyle w:val="TabletextrowsAgency"/>
              <w:spacing w:line="240" w:lineRule="auto"/>
            </w:pPr>
          </w:p>
          <w:p w14:paraId="419958B9" w14:textId="77777777" w:rsidR="008E28A6" w:rsidRPr="004D5796" w:rsidRDefault="008E28A6" w:rsidP="00C44BB8">
            <w:pPr>
              <w:pStyle w:val="TabletextrowsAgency"/>
              <w:spacing w:line="240" w:lineRule="auto"/>
            </w:pPr>
            <w:r w:rsidRPr="004D5796">
              <w:t>Proposed change (if any): Please delete or revise this sentence.</w:t>
            </w:r>
          </w:p>
        </w:tc>
        <w:tc>
          <w:tcPr>
            <w:tcW w:w="1537" w:type="pct"/>
            <w:shd w:val="clear" w:color="auto" w:fill="E1E3F2"/>
          </w:tcPr>
          <w:p w14:paraId="32ED9098" w14:textId="77777777" w:rsidR="008E28A6" w:rsidRPr="004D5796" w:rsidRDefault="008E28A6" w:rsidP="00122857">
            <w:pPr>
              <w:pStyle w:val="TabletextrowsAgency"/>
            </w:pPr>
          </w:p>
        </w:tc>
      </w:tr>
      <w:tr w:rsidR="008E28A6" w:rsidRPr="004D5796" w14:paraId="073AE7DA" w14:textId="77777777" w:rsidTr="00122857">
        <w:tc>
          <w:tcPr>
            <w:tcW w:w="645" w:type="pct"/>
            <w:shd w:val="clear" w:color="auto" w:fill="E1E3F2"/>
          </w:tcPr>
          <w:p w14:paraId="0C4D3135" w14:textId="77777777" w:rsidR="008E28A6" w:rsidRPr="004D5796" w:rsidRDefault="008E28A6" w:rsidP="00122857">
            <w:pPr>
              <w:pStyle w:val="TabletextrowsAgency"/>
            </w:pPr>
            <w:r w:rsidRPr="004D5796">
              <w:t>Line 85 and 91/92</w:t>
            </w:r>
          </w:p>
        </w:tc>
        <w:tc>
          <w:tcPr>
            <w:tcW w:w="812" w:type="pct"/>
            <w:shd w:val="clear" w:color="auto" w:fill="E1E3F2"/>
          </w:tcPr>
          <w:p w14:paraId="086581D8" w14:textId="77777777" w:rsidR="008E28A6" w:rsidRPr="004D5796" w:rsidRDefault="008E28A6" w:rsidP="003C06FC">
            <w:pPr>
              <w:pStyle w:val="TabletextrowsAgency"/>
            </w:pPr>
          </w:p>
        </w:tc>
        <w:tc>
          <w:tcPr>
            <w:tcW w:w="2006" w:type="pct"/>
            <w:shd w:val="clear" w:color="auto" w:fill="E1E3F2"/>
          </w:tcPr>
          <w:p w14:paraId="3932E8CD" w14:textId="77777777" w:rsidR="008E28A6" w:rsidRPr="004D5796" w:rsidRDefault="008E28A6" w:rsidP="00C44BB8">
            <w:pPr>
              <w:pStyle w:val="TabletextrowsAgency"/>
              <w:spacing w:line="240" w:lineRule="auto"/>
              <w:rPr>
                <w:rFonts w:cs="Arial"/>
                <w:lang w:val="en-US"/>
              </w:rPr>
            </w:pPr>
            <w:r w:rsidRPr="004D5796">
              <w:t xml:space="preserve">Comment: We welcome that the new guideline touches on newer outcome measures including the Ankylosing Spondylitis Disease Activity Score (ASDAS), but more guidance and specific information on which of the ASDAS outcome measures could be used would be helpful. </w:t>
            </w:r>
          </w:p>
        </w:tc>
        <w:tc>
          <w:tcPr>
            <w:tcW w:w="1537" w:type="pct"/>
            <w:shd w:val="clear" w:color="auto" w:fill="E1E3F2"/>
          </w:tcPr>
          <w:p w14:paraId="7119D630" w14:textId="77777777" w:rsidR="008E28A6" w:rsidRPr="004D5796" w:rsidRDefault="008E28A6" w:rsidP="00122857">
            <w:pPr>
              <w:pStyle w:val="TabletextrowsAgency"/>
            </w:pPr>
          </w:p>
        </w:tc>
      </w:tr>
      <w:tr w:rsidR="008E28A6" w:rsidRPr="004D5796" w14:paraId="5670B253" w14:textId="77777777">
        <w:tc>
          <w:tcPr>
            <w:tcW w:w="645" w:type="pct"/>
            <w:shd w:val="clear" w:color="auto" w:fill="E1E3F2"/>
          </w:tcPr>
          <w:p w14:paraId="79DD45C6" w14:textId="77777777" w:rsidR="008E28A6" w:rsidRPr="004D5796" w:rsidRDefault="008E28A6" w:rsidP="007F0F77">
            <w:pPr>
              <w:pStyle w:val="TabletextrowsAgency"/>
              <w:spacing w:line="240" w:lineRule="auto"/>
            </w:pPr>
            <w:r w:rsidRPr="004D5796">
              <w:t>90-92</w:t>
            </w:r>
          </w:p>
        </w:tc>
        <w:tc>
          <w:tcPr>
            <w:tcW w:w="812" w:type="pct"/>
            <w:shd w:val="clear" w:color="auto" w:fill="E1E3F2"/>
          </w:tcPr>
          <w:p w14:paraId="38CAA3E2" w14:textId="77777777" w:rsidR="008E28A6" w:rsidRPr="004D5796" w:rsidRDefault="008E28A6" w:rsidP="007F0F77">
            <w:pPr>
              <w:pStyle w:val="TabletextrowsAgency"/>
              <w:spacing w:line="240" w:lineRule="auto"/>
            </w:pPr>
          </w:p>
        </w:tc>
        <w:tc>
          <w:tcPr>
            <w:tcW w:w="2006" w:type="pct"/>
            <w:shd w:val="clear" w:color="auto" w:fill="E1E3F2"/>
          </w:tcPr>
          <w:p w14:paraId="50FDDEC1" w14:textId="77777777" w:rsidR="008E28A6" w:rsidRPr="004D5796" w:rsidRDefault="008E28A6" w:rsidP="00C44BB8">
            <w:pPr>
              <w:pStyle w:val="TabletextrowsAgency"/>
              <w:spacing w:line="240" w:lineRule="auto"/>
              <w:jc w:val="both"/>
            </w:pPr>
            <w:r w:rsidRPr="004D5796">
              <w:t xml:space="preserve">Comment: </w:t>
            </w:r>
          </w:p>
          <w:p w14:paraId="36578128" w14:textId="77777777" w:rsidR="008E28A6" w:rsidRPr="004D5796" w:rsidRDefault="008E28A6" w:rsidP="00C44BB8">
            <w:pPr>
              <w:pStyle w:val="TabletextrowsAgency"/>
              <w:spacing w:line="240" w:lineRule="auto"/>
              <w:jc w:val="both"/>
            </w:pPr>
            <w:r w:rsidRPr="004D5796">
              <w:t xml:space="preserve">Minor typographical revision since the clause lacks a verb. </w:t>
            </w:r>
          </w:p>
          <w:p w14:paraId="5602BCB6" w14:textId="77777777" w:rsidR="008E28A6" w:rsidRPr="004D5796" w:rsidRDefault="008E28A6" w:rsidP="00C44BB8">
            <w:pPr>
              <w:pStyle w:val="TabletextrowsAgency"/>
              <w:spacing w:line="240" w:lineRule="auto"/>
              <w:jc w:val="both"/>
            </w:pPr>
          </w:p>
          <w:p w14:paraId="420E8283" w14:textId="77777777" w:rsidR="008E28A6" w:rsidRPr="004D5796" w:rsidRDefault="008E28A6" w:rsidP="00C44BB8">
            <w:pPr>
              <w:pStyle w:val="TabletextrowsAgency"/>
              <w:spacing w:line="240" w:lineRule="auto"/>
              <w:jc w:val="both"/>
            </w:pPr>
            <w:r w:rsidRPr="004D5796">
              <w:t xml:space="preserve">The RIWP recommends </w:t>
            </w:r>
            <w:r w:rsidRPr="004D5796">
              <w:rPr>
                <w:strike/>
              </w:rPr>
              <w:t>that an</w:t>
            </w:r>
            <w:r w:rsidRPr="004D5796">
              <w:t xml:space="preserve"> </w:t>
            </w:r>
            <w:r w:rsidRPr="004D5796">
              <w:rPr>
                <w:u w:val="double"/>
              </w:rPr>
              <w:t>development of an</w:t>
            </w:r>
            <w:r w:rsidRPr="004D5796">
              <w:t xml:space="preserve"> updated </w:t>
            </w:r>
            <w:r w:rsidRPr="004D5796">
              <w:lastRenderedPageBreak/>
              <w:t xml:space="preserve">guideline on the clinical investigation of medicinal products for the treatment of axial </w:t>
            </w:r>
            <w:proofErr w:type="spellStart"/>
            <w:r w:rsidRPr="004D5796">
              <w:t>spondyloarthritis</w:t>
            </w:r>
            <w:proofErr w:type="spellEnd"/>
            <w:r w:rsidRPr="004D5796">
              <w:t>, addressing issues on adequate patient populations and outcome measures for clinical trials.</w:t>
            </w:r>
          </w:p>
        </w:tc>
        <w:tc>
          <w:tcPr>
            <w:tcW w:w="1537" w:type="pct"/>
            <w:shd w:val="clear" w:color="auto" w:fill="E1E3F2"/>
          </w:tcPr>
          <w:p w14:paraId="41B1A0C0" w14:textId="77777777" w:rsidR="008E28A6" w:rsidRPr="004D5796" w:rsidRDefault="008E28A6">
            <w:pPr>
              <w:pStyle w:val="TabletextrowsAgency"/>
            </w:pPr>
          </w:p>
        </w:tc>
      </w:tr>
      <w:tr w:rsidR="008E28A6" w:rsidRPr="004D5796" w14:paraId="7C9A92A6" w14:textId="77777777" w:rsidTr="00C44BB8">
        <w:trPr>
          <w:trHeight w:val="953"/>
        </w:trPr>
        <w:tc>
          <w:tcPr>
            <w:tcW w:w="645" w:type="pct"/>
            <w:shd w:val="clear" w:color="auto" w:fill="E1E3F2"/>
          </w:tcPr>
          <w:p w14:paraId="3C760C6B" w14:textId="77777777" w:rsidR="008E28A6" w:rsidRPr="004D5796" w:rsidRDefault="008E28A6" w:rsidP="00D73E97">
            <w:pPr>
              <w:pStyle w:val="TabletextrowsAgency"/>
              <w:spacing w:line="240" w:lineRule="auto"/>
            </w:pPr>
            <w:r w:rsidRPr="004D5796">
              <w:lastRenderedPageBreak/>
              <w:t>Lines 94-95</w:t>
            </w:r>
          </w:p>
        </w:tc>
        <w:tc>
          <w:tcPr>
            <w:tcW w:w="812" w:type="pct"/>
            <w:shd w:val="clear" w:color="auto" w:fill="E1E3F2"/>
          </w:tcPr>
          <w:p w14:paraId="17C73ECA" w14:textId="77777777" w:rsidR="008E28A6" w:rsidRPr="004D5796" w:rsidRDefault="008E28A6" w:rsidP="00D73E97">
            <w:pPr>
              <w:pStyle w:val="TabletextrowsAgency"/>
              <w:spacing w:line="240" w:lineRule="auto"/>
              <w:rPr>
                <w:b/>
              </w:rPr>
            </w:pPr>
          </w:p>
        </w:tc>
        <w:tc>
          <w:tcPr>
            <w:tcW w:w="2006" w:type="pct"/>
            <w:shd w:val="clear" w:color="auto" w:fill="E1E3F2"/>
          </w:tcPr>
          <w:p w14:paraId="51C07DA9" w14:textId="77777777" w:rsidR="008E28A6" w:rsidRPr="004D5796" w:rsidRDefault="008E28A6" w:rsidP="00C44BB8">
            <w:pPr>
              <w:pStyle w:val="TabletextrowsAgency"/>
              <w:spacing w:line="240" w:lineRule="auto"/>
            </w:pPr>
            <w:r w:rsidRPr="004D5796">
              <w:t xml:space="preserve">Comment: We believe a typo was made in the date of release of the draft guideline since as per the RIWP work plan 2015, the draft guideline is scheduled to be released in 4Q2015. </w:t>
            </w:r>
          </w:p>
          <w:p w14:paraId="60A191A9" w14:textId="77777777" w:rsidR="008E28A6" w:rsidRPr="004D5796" w:rsidRDefault="008E28A6" w:rsidP="00C44BB8">
            <w:pPr>
              <w:pStyle w:val="TabletextrowsAgency"/>
              <w:spacing w:line="240" w:lineRule="auto"/>
            </w:pPr>
          </w:p>
        </w:tc>
        <w:tc>
          <w:tcPr>
            <w:tcW w:w="1537" w:type="pct"/>
            <w:shd w:val="clear" w:color="auto" w:fill="E1E3F2"/>
          </w:tcPr>
          <w:p w14:paraId="315DF55C" w14:textId="77777777" w:rsidR="008E28A6" w:rsidRPr="004D5796" w:rsidRDefault="008E28A6">
            <w:pPr>
              <w:pStyle w:val="TabletextrowsAgency"/>
            </w:pPr>
          </w:p>
        </w:tc>
      </w:tr>
      <w:tr w:rsidR="008E28A6" w:rsidRPr="004D5796" w14:paraId="62A73A4B" w14:textId="77777777">
        <w:tc>
          <w:tcPr>
            <w:tcW w:w="645" w:type="pct"/>
            <w:shd w:val="clear" w:color="auto" w:fill="E1E3F2"/>
          </w:tcPr>
          <w:p w14:paraId="50F8EE67" w14:textId="77777777" w:rsidR="008E28A6" w:rsidRPr="004D5796" w:rsidRDefault="008E28A6" w:rsidP="007F0F77">
            <w:pPr>
              <w:pStyle w:val="TabletextrowsAgency"/>
              <w:spacing w:line="240" w:lineRule="auto"/>
            </w:pPr>
            <w:r w:rsidRPr="004D5796">
              <w:t>97-98</w:t>
            </w:r>
          </w:p>
        </w:tc>
        <w:tc>
          <w:tcPr>
            <w:tcW w:w="812" w:type="pct"/>
            <w:shd w:val="clear" w:color="auto" w:fill="E1E3F2"/>
          </w:tcPr>
          <w:p w14:paraId="78DEC83F" w14:textId="77777777" w:rsidR="008E28A6" w:rsidRPr="004D5796" w:rsidRDefault="008E28A6" w:rsidP="007F0F77">
            <w:pPr>
              <w:pStyle w:val="TabletextrowsAgency"/>
              <w:spacing w:line="240" w:lineRule="auto"/>
            </w:pPr>
          </w:p>
        </w:tc>
        <w:tc>
          <w:tcPr>
            <w:tcW w:w="2006" w:type="pct"/>
            <w:shd w:val="clear" w:color="auto" w:fill="E1E3F2"/>
          </w:tcPr>
          <w:p w14:paraId="15B50922" w14:textId="77777777" w:rsidR="008E28A6" w:rsidRPr="004D5796" w:rsidRDefault="008E28A6" w:rsidP="00C44BB8">
            <w:pPr>
              <w:pStyle w:val="TabletextrowsAgency"/>
              <w:spacing w:line="240" w:lineRule="auto"/>
              <w:jc w:val="both"/>
            </w:pPr>
            <w:r w:rsidRPr="004D5796">
              <w:t xml:space="preserve">Comment: </w:t>
            </w:r>
          </w:p>
          <w:p w14:paraId="5D2C14B9" w14:textId="77777777" w:rsidR="008E28A6" w:rsidRPr="004D5796" w:rsidRDefault="008E28A6" w:rsidP="00C44BB8">
            <w:pPr>
              <w:pStyle w:val="TabletextrowsAgency"/>
              <w:spacing w:line="240" w:lineRule="auto"/>
              <w:jc w:val="both"/>
            </w:pPr>
            <w:r w:rsidRPr="004D5796">
              <w:t>Minor typographical revision.</w:t>
            </w:r>
          </w:p>
          <w:p w14:paraId="7F23DFF6" w14:textId="77777777" w:rsidR="008E28A6" w:rsidRPr="004D5796" w:rsidRDefault="008E28A6" w:rsidP="00C44BB8">
            <w:pPr>
              <w:pStyle w:val="TabletextrowsAgency"/>
              <w:spacing w:line="240" w:lineRule="auto"/>
              <w:jc w:val="both"/>
            </w:pPr>
          </w:p>
          <w:p w14:paraId="1E53C9A5" w14:textId="77777777" w:rsidR="008E28A6" w:rsidRPr="004D5796" w:rsidRDefault="008E28A6" w:rsidP="00C44BB8">
            <w:pPr>
              <w:pStyle w:val="TabletextrowsAgency"/>
              <w:spacing w:line="240" w:lineRule="auto"/>
              <w:jc w:val="both"/>
            </w:pPr>
            <w:r w:rsidRPr="004D5796">
              <w:t xml:space="preserve">The RIWP will nominate a rapporteur within the group but will </w:t>
            </w:r>
            <w:r w:rsidRPr="004D5796">
              <w:rPr>
                <w:strike/>
              </w:rPr>
              <w:t>relay</w:t>
            </w:r>
            <w:r w:rsidRPr="004D5796">
              <w:t xml:space="preserve"> </w:t>
            </w:r>
            <w:r w:rsidRPr="004D5796">
              <w:rPr>
                <w:u w:val="double"/>
              </w:rPr>
              <w:t>rely</w:t>
            </w:r>
            <w:r w:rsidRPr="004D5796">
              <w:t xml:space="preserve"> on the competence of the entire group as well as consulting other WPs or Committees as well as external experts.</w:t>
            </w:r>
          </w:p>
          <w:p w14:paraId="0F6B7A5D" w14:textId="77777777" w:rsidR="008E28A6" w:rsidRPr="004D5796" w:rsidRDefault="008E28A6" w:rsidP="00C44BB8">
            <w:pPr>
              <w:pStyle w:val="TabletextrowsAgency"/>
              <w:spacing w:line="240" w:lineRule="auto"/>
              <w:jc w:val="both"/>
            </w:pPr>
          </w:p>
        </w:tc>
        <w:tc>
          <w:tcPr>
            <w:tcW w:w="1537" w:type="pct"/>
            <w:shd w:val="clear" w:color="auto" w:fill="E1E3F2"/>
          </w:tcPr>
          <w:p w14:paraId="2941F6D6" w14:textId="77777777" w:rsidR="008E28A6" w:rsidRPr="004D5796" w:rsidRDefault="008E28A6">
            <w:pPr>
              <w:pStyle w:val="TabletextrowsAgency"/>
            </w:pPr>
          </w:p>
        </w:tc>
      </w:tr>
      <w:tr w:rsidR="009C6710" w:rsidRPr="004D5796" w14:paraId="56A6CF34" w14:textId="77777777" w:rsidTr="00C44BB8">
        <w:trPr>
          <w:trHeight w:val="1133"/>
        </w:trPr>
        <w:tc>
          <w:tcPr>
            <w:tcW w:w="645" w:type="pct"/>
            <w:shd w:val="clear" w:color="auto" w:fill="E1E3F2"/>
          </w:tcPr>
          <w:p w14:paraId="4474452F" w14:textId="77777777" w:rsidR="009C6710" w:rsidRPr="004D5796" w:rsidRDefault="009C6710" w:rsidP="00122857">
            <w:pPr>
              <w:pStyle w:val="TabletextrowsAgency"/>
            </w:pPr>
            <w:r w:rsidRPr="004D5796">
              <w:t xml:space="preserve">Additional information proposed </w:t>
            </w:r>
          </w:p>
        </w:tc>
        <w:tc>
          <w:tcPr>
            <w:tcW w:w="812" w:type="pct"/>
            <w:shd w:val="clear" w:color="auto" w:fill="E1E3F2"/>
          </w:tcPr>
          <w:p w14:paraId="3B8EF22B" w14:textId="77777777" w:rsidR="009C6710" w:rsidRPr="004D5796" w:rsidRDefault="009C6710" w:rsidP="003C06FC">
            <w:pPr>
              <w:pStyle w:val="TabletextrowsAgency"/>
            </w:pPr>
          </w:p>
        </w:tc>
        <w:tc>
          <w:tcPr>
            <w:tcW w:w="2006" w:type="pct"/>
            <w:shd w:val="clear" w:color="auto" w:fill="E1E3F2"/>
          </w:tcPr>
          <w:p w14:paraId="75ED2A25" w14:textId="77777777" w:rsidR="009C6710" w:rsidRPr="004D5796" w:rsidRDefault="009C6710" w:rsidP="00C44BB8">
            <w:pPr>
              <w:pStyle w:val="TabletextrowsAgency"/>
              <w:spacing w:line="240" w:lineRule="auto"/>
            </w:pPr>
            <w:r w:rsidRPr="004D5796">
              <w:t xml:space="preserve">Comment : There is no current regulatory guidance on how inhibition of radiographic progression in the sacroiliac joints and/or spine should be assessed.  For the SI joints the </w:t>
            </w:r>
            <w:proofErr w:type="spellStart"/>
            <w:r w:rsidR="00725B4C">
              <w:t>mNY</w:t>
            </w:r>
            <w:proofErr w:type="spellEnd"/>
            <w:r w:rsidRPr="004D5796">
              <w:t xml:space="preserve"> criteria provide the only available scoring system. For the spine the </w:t>
            </w:r>
            <w:r w:rsidR="00B57C6E" w:rsidRPr="004D5796">
              <w:t xml:space="preserve">modified Stoke </w:t>
            </w:r>
            <w:r w:rsidR="00B57C6E">
              <w:t xml:space="preserve">Ankylosing </w:t>
            </w:r>
            <w:r w:rsidR="00B57C6E" w:rsidRPr="004D5796">
              <w:t>Spondylitis Spine Score</w:t>
            </w:r>
            <w:r w:rsidRPr="004D5796">
              <w:t xml:space="preserve"> (</w:t>
            </w:r>
            <w:proofErr w:type="spellStart"/>
            <w:r w:rsidRPr="004D5796">
              <w:t>mSASSS</w:t>
            </w:r>
            <w:proofErr w:type="spellEnd"/>
            <w:r w:rsidRPr="004D5796">
              <w:t>) is the current standard.  Additionally</w:t>
            </w:r>
            <w:r w:rsidR="00C337A2">
              <w:t>,</w:t>
            </w:r>
            <w:r w:rsidRPr="004D5796">
              <w:t xml:space="preserve"> guidance on the acceptability of imaging modalities for determining progression other than conventional x-ray is requested, such as MRI and computed tomography.  </w:t>
            </w:r>
          </w:p>
          <w:p w14:paraId="2676B512" w14:textId="77777777" w:rsidR="009C6710" w:rsidRPr="004D5796" w:rsidRDefault="009C6710" w:rsidP="00C44BB8">
            <w:pPr>
              <w:pStyle w:val="TabletextrowsAgency"/>
              <w:spacing w:line="240" w:lineRule="auto"/>
            </w:pPr>
          </w:p>
          <w:p w14:paraId="330D2F1C" w14:textId="77777777" w:rsidR="009C6710" w:rsidRPr="004D5796" w:rsidRDefault="009C6710" w:rsidP="00C44BB8">
            <w:pPr>
              <w:pStyle w:val="TabletextrowsAgency"/>
              <w:spacing w:line="240" w:lineRule="auto"/>
            </w:pPr>
            <w:r w:rsidRPr="004D5796">
              <w:t xml:space="preserve">Proposed change: add guidance on the preferred measures of radiographic progression, acceptability of alternative imaging methods, and information on duration and recommended  </w:t>
            </w:r>
            <w:r w:rsidR="00FC5ADF">
              <w:t xml:space="preserve"> control </w:t>
            </w:r>
            <w:r w:rsidRPr="004D5796">
              <w:t>group for trials for a structural inhibition claim in patients with nr-</w:t>
            </w:r>
            <w:proofErr w:type="spellStart"/>
            <w:r w:rsidRPr="004D5796">
              <w:t>axSpA</w:t>
            </w:r>
            <w:proofErr w:type="spellEnd"/>
            <w:r w:rsidRPr="004D5796">
              <w:t xml:space="preserve"> and/or AS. </w:t>
            </w:r>
          </w:p>
        </w:tc>
        <w:tc>
          <w:tcPr>
            <w:tcW w:w="1537" w:type="pct"/>
            <w:shd w:val="clear" w:color="auto" w:fill="E1E3F2"/>
          </w:tcPr>
          <w:p w14:paraId="1BD50829" w14:textId="77777777" w:rsidR="009C6710" w:rsidRPr="004D5796" w:rsidRDefault="009C6710" w:rsidP="00122857">
            <w:pPr>
              <w:pStyle w:val="TabletextrowsAgency"/>
            </w:pPr>
          </w:p>
        </w:tc>
      </w:tr>
      <w:tr w:rsidR="009C6710" w:rsidRPr="004D5796" w14:paraId="6E1D90EF" w14:textId="77777777" w:rsidTr="00122857">
        <w:tc>
          <w:tcPr>
            <w:tcW w:w="645" w:type="pct"/>
            <w:shd w:val="clear" w:color="auto" w:fill="E1E3F2"/>
          </w:tcPr>
          <w:p w14:paraId="5867F493" w14:textId="77777777" w:rsidR="009C6710" w:rsidRPr="004D5796" w:rsidRDefault="009C6710" w:rsidP="00122857">
            <w:pPr>
              <w:pStyle w:val="TabletextrowsAgency"/>
            </w:pPr>
            <w:r w:rsidRPr="004D5796">
              <w:t xml:space="preserve">Additional </w:t>
            </w:r>
            <w:r w:rsidRPr="004D5796">
              <w:lastRenderedPageBreak/>
              <w:t xml:space="preserve">information proposed </w:t>
            </w:r>
          </w:p>
          <w:p w14:paraId="271EA0D1" w14:textId="77777777" w:rsidR="009C6710" w:rsidRPr="004D5796" w:rsidRDefault="009C6710" w:rsidP="00122857">
            <w:pPr>
              <w:pStyle w:val="TabletextrowsAgency"/>
            </w:pPr>
          </w:p>
          <w:p w14:paraId="5D0C3D9A" w14:textId="77777777" w:rsidR="009C6710" w:rsidRPr="004D5796" w:rsidRDefault="009C6710" w:rsidP="00122857">
            <w:pPr>
              <w:pStyle w:val="TabletextrowsAgency"/>
            </w:pPr>
          </w:p>
        </w:tc>
        <w:tc>
          <w:tcPr>
            <w:tcW w:w="812" w:type="pct"/>
            <w:shd w:val="clear" w:color="auto" w:fill="E1E3F2"/>
          </w:tcPr>
          <w:p w14:paraId="39A42851" w14:textId="77777777" w:rsidR="009C6710" w:rsidRPr="004D5796" w:rsidRDefault="009C6710" w:rsidP="003C06FC">
            <w:pPr>
              <w:pStyle w:val="TabletextrowsAgency"/>
            </w:pPr>
          </w:p>
        </w:tc>
        <w:tc>
          <w:tcPr>
            <w:tcW w:w="2006" w:type="pct"/>
            <w:shd w:val="clear" w:color="auto" w:fill="E1E3F2"/>
          </w:tcPr>
          <w:p w14:paraId="69AB906D" w14:textId="77777777" w:rsidR="009C6710" w:rsidRPr="004D5796" w:rsidRDefault="009C6710" w:rsidP="00C44BB8">
            <w:pPr>
              <w:pStyle w:val="TabletextrowsAgency"/>
              <w:spacing w:line="240" w:lineRule="auto"/>
            </w:pPr>
            <w:r w:rsidRPr="004D5796">
              <w:t xml:space="preserve">Comment: role of STIR MRI of SI-joints and spine. </w:t>
            </w:r>
          </w:p>
          <w:p w14:paraId="75D0A01A" w14:textId="77777777" w:rsidR="009C6710" w:rsidRPr="004D5796" w:rsidRDefault="009C6710" w:rsidP="00C44BB8">
            <w:pPr>
              <w:pStyle w:val="TabletextrowsAgency"/>
              <w:spacing w:line="240" w:lineRule="auto"/>
            </w:pPr>
            <w:r w:rsidRPr="004D5796">
              <w:t xml:space="preserve">MRI of the SI-joints and spine are very well established in </w:t>
            </w:r>
            <w:r w:rsidRPr="004D5796">
              <w:lastRenderedPageBreak/>
              <w:t xml:space="preserve">clinical practice as well as in clinical trials. Next to measuring CRP, MRI offers the opportunity to quantitatively and reliably characterize the inflammatory burden of a patient with </w:t>
            </w:r>
            <w:proofErr w:type="spellStart"/>
            <w:r w:rsidRPr="004D5796">
              <w:t>axSpA</w:t>
            </w:r>
            <w:proofErr w:type="spellEnd"/>
            <w:r w:rsidRPr="004D5796">
              <w:t xml:space="preserve"> in the SI-joints and spine</w:t>
            </w:r>
            <w:r w:rsidR="001160CA">
              <w:t>.</w:t>
            </w:r>
            <w:r w:rsidRPr="004D5796">
              <w:t xml:space="preserve"> </w:t>
            </w:r>
          </w:p>
          <w:p w14:paraId="5F9B04F9" w14:textId="77777777" w:rsidR="009C6710" w:rsidRPr="004D5796" w:rsidRDefault="009C6710" w:rsidP="00C44BB8">
            <w:pPr>
              <w:pStyle w:val="TabletextrowsAgency"/>
              <w:spacing w:line="240" w:lineRule="auto"/>
            </w:pPr>
            <w:r w:rsidRPr="004D5796">
              <w:t xml:space="preserve">Proposed change: add MRI of SI-joints and spine to list of outcome measures to assess disease activity and treatment effect. </w:t>
            </w:r>
          </w:p>
        </w:tc>
        <w:tc>
          <w:tcPr>
            <w:tcW w:w="1537" w:type="pct"/>
            <w:shd w:val="clear" w:color="auto" w:fill="E1E3F2"/>
          </w:tcPr>
          <w:p w14:paraId="591AA44A" w14:textId="77777777" w:rsidR="009C6710" w:rsidRPr="004D5796" w:rsidRDefault="009C6710" w:rsidP="00122857">
            <w:pPr>
              <w:pStyle w:val="TabletextrowsAgency"/>
            </w:pPr>
          </w:p>
        </w:tc>
      </w:tr>
    </w:tbl>
    <w:p w14:paraId="7F4E09CC" w14:textId="77777777" w:rsidR="005D6621" w:rsidRDefault="005D6621">
      <w:pPr>
        <w:pStyle w:val="TableFigurenoteAgency"/>
      </w:pPr>
      <w:r w:rsidRPr="004D5796">
        <w:lastRenderedPageBreak/>
        <w:t>Please add more rows if needed.</w:t>
      </w:r>
    </w:p>
    <w:sectPr w:rsidR="005D662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803F" w14:textId="77777777" w:rsidR="002408BE" w:rsidRDefault="002408BE">
      <w:r>
        <w:separator/>
      </w:r>
    </w:p>
  </w:endnote>
  <w:endnote w:type="continuationSeparator" w:id="0">
    <w:p w14:paraId="6CC55497" w14:textId="77777777" w:rsidR="002408BE" w:rsidRDefault="002408BE">
      <w:r>
        <w:continuationSeparator/>
      </w:r>
    </w:p>
  </w:endnote>
  <w:endnote w:type="continuationNotice" w:id="1">
    <w:p w14:paraId="0024C171" w14:textId="77777777" w:rsidR="002408BE" w:rsidRDefault="0024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dvOT0231c847">
    <w:panose1 w:val="00000000000000000000"/>
    <w:charset w:val="00"/>
    <w:family w:val="swiss"/>
    <w:notTrueType/>
    <w:pitch w:val="default"/>
    <w:sig w:usb0="00000003" w:usb1="00000000" w:usb2="00000000" w:usb3="00000000" w:csb0="00000001" w:csb1="00000000"/>
  </w:font>
  <w:font w:name="AdvOTbe4cb9cb">
    <w:panose1 w:val="00000000000000000000"/>
    <w:charset w:val="00"/>
    <w:family w:val="swiss"/>
    <w:notTrueType/>
    <w:pitch w:val="default"/>
    <w:sig w:usb0="00000003" w:usb1="00000000" w:usb2="00000000" w:usb3="00000000" w:csb0="00000001" w:csb1="00000000"/>
  </w:font>
  <w:font w:name="AdvOTc9c0ed35.B">
    <w:panose1 w:val="00000000000000000000"/>
    <w:charset w:val="00"/>
    <w:family w:val="swiss"/>
    <w:notTrueType/>
    <w:pitch w:val="default"/>
    <w:sig w:usb0="00000003" w:usb1="00000000" w:usb2="00000000" w:usb3="00000000" w:csb0="00000001" w:csb1="00000000"/>
  </w:font>
  <w:font w:name="AdvOT0231c847+20">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ZurichBT-LightCondensed">
    <w:panose1 w:val="00000000000000000000"/>
    <w:charset w:val="00"/>
    <w:family w:val="swiss"/>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 w:name="AdvTT5bf2ac07">
    <w:panose1 w:val="00000000000000000000"/>
    <w:charset w:val="00"/>
    <w:family w:val="roman"/>
    <w:notTrueType/>
    <w:pitch w:val="default"/>
    <w:sig w:usb0="00000003" w:usb1="00000000" w:usb2="00000000" w:usb3="00000000" w:csb0="00000001" w:csb1="00000000"/>
  </w:font>
  <w:font w:name="AdvTT5bf2ac07+20">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0E1159" w14:paraId="1E23E24F" w14:textId="77777777">
      <w:tc>
        <w:tcPr>
          <w:tcW w:w="5000" w:type="pct"/>
          <w:gridSpan w:val="2"/>
          <w:tcBorders>
            <w:top w:val="single" w:sz="2" w:space="0" w:color="auto"/>
            <w:left w:val="nil"/>
            <w:bottom w:val="nil"/>
            <w:right w:val="nil"/>
          </w:tcBorders>
          <w:tcMar>
            <w:left w:w="0" w:type="dxa"/>
            <w:right w:w="0" w:type="dxa"/>
          </w:tcMar>
        </w:tcPr>
        <w:p w14:paraId="6D7AE158" w14:textId="77777777" w:rsidR="000E1159" w:rsidRDefault="000E1159">
          <w:pPr>
            <w:pStyle w:val="FooterAgency"/>
          </w:pPr>
        </w:p>
      </w:tc>
    </w:tr>
    <w:tr w:rsidR="000E1159" w14:paraId="07C2A3D8" w14:textId="77777777">
      <w:trPr>
        <w:trHeight w:val="355"/>
      </w:trPr>
      <w:tc>
        <w:tcPr>
          <w:tcW w:w="3291" w:type="pct"/>
          <w:tcMar>
            <w:left w:w="0" w:type="dxa"/>
            <w:right w:w="0" w:type="dxa"/>
          </w:tcMar>
        </w:tcPr>
        <w:p w14:paraId="61ADB58E" w14:textId="77777777" w:rsidR="000E1159" w:rsidRDefault="000E1159">
          <w:pPr>
            <w:pStyle w:val="FooterAgency"/>
          </w:pPr>
        </w:p>
      </w:tc>
      <w:tc>
        <w:tcPr>
          <w:tcW w:w="1709" w:type="pct"/>
          <w:tcMar>
            <w:left w:w="0" w:type="dxa"/>
            <w:right w:w="0" w:type="dxa"/>
          </w:tcMar>
        </w:tcPr>
        <w:p w14:paraId="601B0604" w14:textId="77777777" w:rsidR="000E1159" w:rsidRDefault="000E1159">
          <w:pPr>
            <w:pStyle w:val="FooterAgency"/>
          </w:pPr>
        </w:p>
      </w:tc>
    </w:tr>
    <w:tr w:rsidR="000E1159" w14:paraId="6FF0A0F5" w14:textId="77777777">
      <w:tc>
        <w:tcPr>
          <w:tcW w:w="3291" w:type="pct"/>
          <w:tcMar>
            <w:left w:w="0" w:type="dxa"/>
            <w:right w:w="0" w:type="dxa"/>
          </w:tcMar>
        </w:tcPr>
        <w:p w14:paraId="51144785" w14:textId="77777777" w:rsidR="000E1159" w:rsidRDefault="000E1159">
          <w:pPr>
            <w:pStyle w:val="FooterAgency"/>
          </w:pPr>
        </w:p>
      </w:tc>
      <w:tc>
        <w:tcPr>
          <w:tcW w:w="1709" w:type="pct"/>
          <w:tcMar>
            <w:left w:w="0" w:type="dxa"/>
            <w:right w:w="0" w:type="dxa"/>
          </w:tcMar>
        </w:tcPr>
        <w:p w14:paraId="1208A00C" w14:textId="77777777" w:rsidR="000E1159" w:rsidRDefault="000E1159">
          <w:pPr>
            <w:pStyle w:val="PagenumberAgency"/>
            <w:ind w:right="210"/>
          </w:pPr>
          <w:r>
            <w:fldChar w:fldCharType="begin"/>
          </w:r>
          <w:r>
            <w:instrText xml:space="preserve"> PAGE </w:instrText>
          </w:r>
          <w:r>
            <w:fldChar w:fldCharType="separate"/>
          </w:r>
          <w:r w:rsidR="00E554D5">
            <w:rPr>
              <w:noProof/>
            </w:rPr>
            <w:t>2</w:t>
          </w:r>
          <w:r>
            <w:fldChar w:fldCharType="end"/>
          </w:r>
          <w:r>
            <w:t>/</w:t>
          </w:r>
          <w:r>
            <w:fldChar w:fldCharType="begin"/>
          </w:r>
          <w:r>
            <w:instrText xml:space="preserve"> NUMPAGES </w:instrText>
          </w:r>
          <w:r>
            <w:fldChar w:fldCharType="separate"/>
          </w:r>
          <w:r w:rsidR="00E554D5">
            <w:rPr>
              <w:noProof/>
            </w:rPr>
            <w:t>20</w:t>
          </w:r>
          <w:r>
            <w:fldChar w:fldCharType="end"/>
          </w:r>
        </w:p>
      </w:tc>
    </w:tr>
  </w:tbl>
  <w:p w14:paraId="7D5BC479" w14:textId="77777777" w:rsidR="000E1159" w:rsidRDefault="000E1159">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0E1159" w14:paraId="6E82EE08" w14:textId="77777777">
      <w:tc>
        <w:tcPr>
          <w:tcW w:w="9413" w:type="dxa"/>
          <w:gridSpan w:val="2"/>
          <w:tcBorders>
            <w:top w:val="single" w:sz="2" w:space="0" w:color="auto"/>
            <w:left w:val="nil"/>
            <w:bottom w:val="nil"/>
            <w:right w:val="nil"/>
          </w:tcBorders>
          <w:tcMar>
            <w:left w:w="0" w:type="dxa"/>
            <w:right w:w="0" w:type="dxa"/>
          </w:tcMar>
          <w:vAlign w:val="bottom"/>
        </w:tcPr>
        <w:p w14:paraId="5D85BBCF" w14:textId="77777777" w:rsidR="000E1159" w:rsidRDefault="000E1159">
          <w:pPr>
            <w:pStyle w:val="FooterAgency"/>
          </w:pPr>
        </w:p>
      </w:tc>
    </w:tr>
    <w:tr w:rsidR="000E1159" w14:paraId="0B8F72DB" w14:textId="77777777">
      <w:trPr>
        <w:cantSplit/>
        <w:trHeight w:hRule="exact" w:val="198"/>
      </w:trPr>
      <w:tc>
        <w:tcPr>
          <w:tcW w:w="6206" w:type="dxa"/>
          <w:tcMar>
            <w:left w:w="0" w:type="dxa"/>
            <w:right w:w="0" w:type="dxa"/>
          </w:tcMar>
          <w:vAlign w:val="bottom"/>
        </w:tcPr>
        <w:p w14:paraId="2FF29015" w14:textId="77777777" w:rsidR="000E1159" w:rsidRDefault="000E1159">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3"/>
            <w:gridCol w:w="734"/>
          </w:tblGrid>
          <w:tr w:rsidR="000E1159" w14:paraId="2CD22F51" w14:textId="77777777">
            <w:trPr>
              <w:cantSplit/>
              <w:trHeight w:val="180"/>
              <w:tblHeader/>
              <w:jc w:val="right"/>
            </w:trPr>
            <w:tc>
              <w:tcPr>
                <w:tcW w:w="2478" w:type="dxa"/>
                <w:vMerge w:val="restart"/>
                <w:tcBorders>
                  <w:top w:val="nil"/>
                  <w:left w:val="nil"/>
                  <w:bottom w:val="nil"/>
                  <w:right w:val="nil"/>
                </w:tcBorders>
                <w:vAlign w:val="bottom"/>
              </w:tcPr>
              <w:p w14:paraId="078E541E" w14:textId="77777777" w:rsidR="000E1159" w:rsidRDefault="000E1159">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7A3DB83F" w14:textId="77777777" w:rsidR="000E1159" w:rsidRDefault="00E554D5">
                <w:pPr>
                  <w:pStyle w:val="FooterAgency"/>
                  <w:jc w:val="right"/>
                </w:pPr>
                <w:r>
                  <w:pict w14:anchorId="3F1A7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20.95pt">
                      <v:imagedata r:id="rId1" o:title="EU Logo"/>
                      <o:lock v:ext="edit" aspectratio="f"/>
                    </v:shape>
                  </w:pict>
                </w:r>
              </w:p>
            </w:tc>
          </w:tr>
          <w:tr w:rsidR="000E1159" w14:paraId="51124530" w14:textId="77777777">
            <w:trPr>
              <w:cantSplit/>
              <w:trHeight w:val="390"/>
              <w:jc w:val="right"/>
            </w:trPr>
            <w:tc>
              <w:tcPr>
                <w:tcW w:w="2478" w:type="dxa"/>
                <w:vMerge/>
                <w:vAlign w:val="bottom"/>
              </w:tcPr>
              <w:p w14:paraId="166DF598" w14:textId="77777777" w:rsidR="000E1159" w:rsidRDefault="000E1159">
                <w:pPr>
                  <w:pStyle w:val="FooterAgency"/>
                </w:pPr>
              </w:p>
            </w:tc>
            <w:tc>
              <w:tcPr>
                <w:tcW w:w="709" w:type="dxa"/>
                <w:vMerge/>
                <w:vAlign w:val="bottom"/>
              </w:tcPr>
              <w:p w14:paraId="1373806B" w14:textId="77777777" w:rsidR="000E1159" w:rsidRDefault="000E1159">
                <w:pPr>
                  <w:pStyle w:val="FooterAgency"/>
                </w:pPr>
              </w:p>
            </w:tc>
          </w:tr>
        </w:tbl>
        <w:p w14:paraId="44F524BE" w14:textId="77777777" w:rsidR="000E1159" w:rsidRDefault="000E1159">
          <w:pPr>
            <w:pStyle w:val="FooterAgency"/>
            <w:widowControl w:val="0"/>
            <w:adjustRightInd w:val="0"/>
            <w:jc w:val="right"/>
          </w:pPr>
        </w:p>
      </w:tc>
    </w:tr>
    <w:tr w:rsidR="000E1159" w14:paraId="1C238D9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0E1159" w14:paraId="27C84CA2" w14:textId="77777777">
            <w:trPr>
              <w:trHeight w:hRule="exact" w:val="198"/>
            </w:trPr>
            <w:tc>
              <w:tcPr>
                <w:tcW w:w="840" w:type="dxa"/>
                <w:gridSpan w:val="2"/>
                <w:vAlign w:val="bottom"/>
              </w:tcPr>
              <w:p w14:paraId="1935E944" w14:textId="77777777" w:rsidR="000E1159" w:rsidRDefault="000E1159">
                <w:pPr>
                  <w:pStyle w:val="FooterblueAgency"/>
                </w:pPr>
                <w:r>
                  <w:t>Telephone</w:t>
                </w:r>
              </w:p>
            </w:tc>
            <w:tc>
              <w:tcPr>
                <w:tcW w:w="1648" w:type="dxa"/>
                <w:gridSpan w:val="2"/>
                <w:vAlign w:val="bottom"/>
              </w:tcPr>
              <w:p w14:paraId="4442A7E6" w14:textId="77777777" w:rsidR="000E1159" w:rsidRDefault="000E1159">
                <w:pPr>
                  <w:pStyle w:val="FooterAgency"/>
                </w:pPr>
                <w:r>
                  <w:t>+44 (0)20 7418 8400</w:t>
                </w:r>
              </w:p>
            </w:tc>
            <w:tc>
              <w:tcPr>
                <w:tcW w:w="726" w:type="dxa"/>
                <w:gridSpan w:val="2"/>
                <w:vAlign w:val="bottom"/>
              </w:tcPr>
              <w:p w14:paraId="4C30065C" w14:textId="77777777" w:rsidR="000E1159" w:rsidRDefault="000E1159">
                <w:pPr>
                  <w:pStyle w:val="FooterblueAgency"/>
                </w:pPr>
                <w:r>
                  <w:t>Facsimile</w:t>
                </w:r>
              </w:p>
            </w:tc>
            <w:tc>
              <w:tcPr>
                <w:tcW w:w="2767" w:type="dxa"/>
                <w:vAlign w:val="bottom"/>
              </w:tcPr>
              <w:p w14:paraId="6970CF29" w14:textId="77777777" w:rsidR="000E1159" w:rsidRDefault="000E1159">
                <w:pPr>
                  <w:pStyle w:val="FooterAgency"/>
                </w:pPr>
                <w:r>
                  <w:t>+44 (0)20 7418 8416</w:t>
                </w:r>
              </w:p>
            </w:tc>
          </w:tr>
          <w:tr w:rsidR="000E1159" w14:paraId="4767E39D" w14:textId="77777777">
            <w:trPr>
              <w:trHeight w:hRule="exact" w:val="198"/>
            </w:trPr>
            <w:tc>
              <w:tcPr>
                <w:tcW w:w="522" w:type="dxa"/>
                <w:vAlign w:val="bottom"/>
              </w:tcPr>
              <w:p w14:paraId="4A30BC8A" w14:textId="77777777" w:rsidR="000E1159" w:rsidRDefault="000E1159">
                <w:pPr>
                  <w:pStyle w:val="FooterblueAgency"/>
                </w:pPr>
                <w:r>
                  <w:t>E-mail</w:t>
                </w:r>
              </w:p>
            </w:tc>
            <w:tc>
              <w:tcPr>
                <w:tcW w:w="1566" w:type="dxa"/>
                <w:gridSpan w:val="2"/>
                <w:vAlign w:val="bottom"/>
              </w:tcPr>
              <w:p w14:paraId="4ABDE43B" w14:textId="77777777" w:rsidR="000E1159" w:rsidRDefault="000E1159">
                <w:pPr>
                  <w:pStyle w:val="FooterAgency"/>
                </w:pPr>
                <w:r>
                  <w:t>info@ema.europa.eu</w:t>
                </w:r>
              </w:p>
            </w:tc>
            <w:tc>
              <w:tcPr>
                <w:tcW w:w="649" w:type="dxa"/>
                <w:gridSpan w:val="2"/>
                <w:vAlign w:val="bottom"/>
              </w:tcPr>
              <w:p w14:paraId="71E98D10" w14:textId="77777777" w:rsidR="000E1159" w:rsidRDefault="000E1159">
                <w:pPr>
                  <w:pStyle w:val="FooterblueAgency"/>
                </w:pPr>
                <w:r>
                  <w:t>Website</w:t>
                </w:r>
              </w:p>
            </w:tc>
            <w:tc>
              <w:tcPr>
                <w:tcW w:w="3244" w:type="dxa"/>
                <w:gridSpan w:val="2"/>
                <w:vAlign w:val="bottom"/>
              </w:tcPr>
              <w:p w14:paraId="27D592A7" w14:textId="77777777" w:rsidR="000E1159" w:rsidRDefault="000E1159">
                <w:pPr>
                  <w:pStyle w:val="FooterAgency"/>
                </w:pPr>
                <w:r>
                  <w:t>www.ema.europa.eu</w:t>
                </w:r>
              </w:p>
            </w:tc>
          </w:tr>
        </w:tbl>
        <w:p w14:paraId="7793DACB" w14:textId="77777777" w:rsidR="000E1159" w:rsidRDefault="000E1159">
          <w:pPr>
            <w:pStyle w:val="FooterAgency"/>
          </w:pPr>
        </w:p>
      </w:tc>
      <w:tc>
        <w:tcPr>
          <w:tcW w:w="3207" w:type="dxa"/>
          <w:vMerge/>
          <w:tcMar>
            <w:left w:w="0" w:type="dxa"/>
            <w:right w:w="0" w:type="dxa"/>
          </w:tcMar>
          <w:vAlign w:val="bottom"/>
        </w:tcPr>
        <w:p w14:paraId="7E3D9900" w14:textId="77777777" w:rsidR="000E1159" w:rsidRDefault="000E1159">
          <w:pPr>
            <w:pStyle w:val="FooterAgency"/>
          </w:pPr>
        </w:p>
      </w:tc>
    </w:tr>
    <w:tr w:rsidR="000E1159" w14:paraId="18ACC5BA" w14:textId="77777777">
      <w:tc>
        <w:tcPr>
          <w:tcW w:w="9413" w:type="dxa"/>
          <w:gridSpan w:val="2"/>
          <w:tcMar>
            <w:left w:w="0" w:type="dxa"/>
            <w:right w:w="0" w:type="dxa"/>
          </w:tcMar>
          <w:vAlign w:val="bottom"/>
        </w:tcPr>
        <w:p w14:paraId="1AFA8AD5" w14:textId="77777777" w:rsidR="000E1159" w:rsidRDefault="000E1159">
          <w:pPr>
            <w:pStyle w:val="FooterAgency"/>
          </w:pPr>
        </w:p>
      </w:tc>
    </w:tr>
    <w:tr w:rsidR="000E1159" w14:paraId="6A1F8AB7" w14:textId="77777777">
      <w:tc>
        <w:tcPr>
          <w:tcW w:w="9413" w:type="dxa"/>
          <w:gridSpan w:val="2"/>
          <w:tcMar>
            <w:left w:w="0" w:type="dxa"/>
            <w:right w:w="0" w:type="dxa"/>
          </w:tcMar>
          <w:vAlign w:val="bottom"/>
        </w:tcPr>
        <w:p w14:paraId="372A3AD3" w14:textId="77777777" w:rsidR="000E1159" w:rsidRDefault="000E1159">
          <w:pPr>
            <w:pStyle w:val="FooterAgency"/>
            <w:jc w:val="center"/>
          </w:pPr>
        </w:p>
      </w:tc>
    </w:tr>
  </w:tbl>
  <w:p w14:paraId="5719750E" w14:textId="77777777" w:rsidR="000E1159" w:rsidRDefault="000E1159">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AC361" w14:textId="77777777" w:rsidR="002408BE" w:rsidRDefault="002408BE">
      <w:r>
        <w:separator/>
      </w:r>
    </w:p>
  </w:footnote>
  <w:footnote w:type="continuationSeparator" w:id="0">
    <w:p w14:paraId="592683B7" w14:textId="77777777" w:rsidR="002408BE" w:rsidRDefault="002408BE">
      <w:r>
        <w:continuationSeparator/>
      </w:r>
    </w:p>
  </w:footnote>
  <w:footnote w:type="continuationNotice" w:id="1">
    <w:p w14:paraId="1F1238F4" w14:textId="77777777" w:rsidR="002408BE" w:rsidRDefault="002408B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AFFD0" w14:textId="77777777" w:rsidR="00927096" w:rsidRDefault="009270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1DC4" w14:textId="77777777" w:rsidR="000E1159" w:rsidRDefault="00E554D5">
    <w:pPr>
      <w:pStyle w:val="FooterAgency"/>
      <w:jc w:val="center"/>
    </w:pPr>
    <w:r>
      <w:pict w14:anchorId="676F9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7pt;height:141.25pt">
          <v:imagedata r:id="rId1" o:title="Logo MSWord"/>
        </v:shape>
      </w:pict>
    </w:r>
    <w:r w:rsidR="000E1159">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CA1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CE327A"/>
    <w:multiLevelType w:val="hybridMultilevel"/>
    <w:tmpl w:val="D158C1CA"/>
    <w:lvl w:ilvl="0" w:tplc="F52055D2">
      <w:numFmt w:val="bullet"/>
      <w:lvlText w:val="-"/>
      <w:lvlJc w:val="left"/>
      <w:pPr>
        <w:ind w:left="720" w:hanging="360"/>
      </w:pPr>
      <w:rPr>
        <w:rFonts w:ascii="Verdana" w:eastAsia="SimSu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B664EFE"/>
    <w:multiLevelType w:val="hybridMultilevel"/>
    <w:tmpl w:val="3F8A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2E9120B9"/>
    <w:multiLevelType w:val="hybridMultilevel"/>
    <w:tmpl w:val="6E705EC0"/>
    <w:lvl w:ilvl="0" w:tplc="ED349750">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58352AB4"/>
    <w:multiLevelType w:val="hybridMultilevel"/>
    <w:tmpl w:val="F47E2C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E5A65B9"/>
    <w:multiLevelType w:val="hybridMultilevel"/>
    <w:tmpl w:val="FDE00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A34AE"/>
    <w:multiLevelType w:val="hybridMultilevel"/>
    <w:tmpl w:val="5FEAF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3B21B9"/>
    <w:multiLevelType w:val="hybridMultilevel"/>
    <w:tmpl w:val="DE46E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DCC0C00"/>
    <w:multiLevelType w:val="hybridMultilevel"/>
    <w:tmpl w:val="857A1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E499D"/>
    <w:multiLevelType w:val="hybridMultilevel"/>
    <w:tmpl w:val="925C4F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4"/>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17"/>
  </w:num>
  <w:num w:numId="13">
    <w:abstractNumId w:val="13"/>
  </w:num>
  <w:num w:numId="14">
    <w:abstractNumId w:val="25"/>
  </w:num>
  <w:num w:numId="15">
    <w:abstractNumId w:val="16"/>
  </w:num>
  <w:num w:numId="16">
    <w:abstractNumId w:val="19"/>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14"/>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7"/>
  </w:num>
  <w:num w:numId="39">
    <w:abstractNumId w:val="13"/>
  </w:num>
  <w:num w:numId="40">
    <w:abstractNumId w:val="0"/>
  </w:num>
  <w:num w:numId="41">
    <w:abstractNumId w:val="18"/>
  </w:num>
  <w:num w:numId="42">
    <w:abstractNumId w:val="24"/>
  </w:num>
  <w:num w:numId="43">
    <w:abstractNumId w:val="23"/>
  </w:num>
  <w:num w:numId="44">
    <w:abstractNumId w:val="22"/>
  </w:num>
  <w:num w:numId="45">
    <w:abstractNumId w:val="26"/>
  </w:num>
  <w:num w:numId="46">
    <w:abstractNumId w:val="15"/>
  </w:num>
  <w:num w:numId="47">
    <w:abstractNumId w:val="11"/>
  </w:num>
  <w:num w:numId="48">
    <w:abstractNumId w:val="2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NotTrackMoves/>
  <w:documentProtection w:edit="readOnly" w:enforcement="1"/>
  <w:defaultTabStop w:val="720"/>
  <w:drawingGridHorizontalSpacing w:val="120"/>
  <w:displayHorizontalDrawingGridEvery w:val="2"/>
  <w:characterSpacingControl w:val="doNotCompress"/>
  <w:hdrShapeDefaults>
    <o:shapedefaults v:ext="edit" spidmax="18436"/>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FB3"/>
    <w:rsid w:val="0000585F"/>
    <w:rsid w:val="000218B8"/>
    <w:rsid w:val="0003414A"/>
    <w:rsid w:val="0004044E"/>
    <w:rsid w:val="00064154"/>
    <w:rsid w:val="00085A05"/>
    <w:rsid w:val="00096D3B"/>
    <w:rsid w:val="000D5028"/>
    <w:rsid w:val="000E1159"/>
    <w:rsid w:val="00114FE6"/>
    <w:rsid w:val="001160CA"/>
    <w:rsid w:val="00117265"/>
    <w:rsid w:val="00122857"/>
    <w:rsid w:val="00123ED2"/>
    <w:rsid w:val="00147260"/>
    <w:rsid w:val="00165C64"/>
    <w:rsid w:val="00171C72"/>
    <w:rsid w:val="00187709"/>
    <w:rsid w:val="001A3D90"/>
    <w:rsid w:val="001B7795"/>
    <w:rsid w:val="001C2C42"/>
    <w:rsid w:val="001C6A8E"/>
    <w:rsid w:val="001D0918"/>
    <w:rsid w:val="001D5260"/>
    <w:rsid w:val="001D7EFE"/>
    <w:rsid w:val="001E118E"/>
    <w:rsid w:val="001E4614"/>
    <w:rsid w:val="001E5EB4"/>
    <w:rsid w:val="001F088C"/>
    <w:rsid w:val="001F3855"/>
    <w:rsid w:val="002027F4"/>
    <w:rsid w:val="002238FD"/>
    <w:rsid w:val="00225B68"/>
    <w:rsid w:val="0023195B"/>
    <w:rsid w:val="002343C4"/>
    <w:rsid w:val="00235AFE"/>
    <w:rsid w:val="002408BE"/>
    <w:rsid w:val="0025244A"/>
    <w:rsid w:val="00261440"/>
    <w:rsid w:val="00281768"/>
    <w:rsid w:val="00297A4B"/>
    <w:rsid w:val="002A50ED"/>
    <w:rsid w:val="002A7A74"/>
    <w:rsid w:val="002B04AA"/>
    <w:rsid w:val="002C4AB2"/>
    <w:rsid w:val="002C4F54"/>
    <w:rsid w:val="002F08F9"/>
    <w:rsid w:val="003314AE"/>
    <w:rsid w:val="00351396"/>
    <w:rsid w:val="00394FEC"/>
    <w:rsid w:val="003B4BEB"/>
    <w:rsid w:val="003C06FC"/>
    <w:rsid w:val="003C2077"/>
    <w:rsid w:val="003D1F0A"/>
    <w:rsid w:val="003D5ED1"/>
    <w:rsid w:val="003E1E41"/>
    <w:rsid w:val="003E7B44"/>
    <w:rsid w:val="00402431"/>
    <w:rsid w:val="00420E48"/>
    <w:rsid w:val="00426FEA"/>
    <w:rsid w:val="004271FB"/>
    <w:rsid w:val="00442105"/>
    <w:rsid w:val="00453194"/>
    <w:rsid w:val="0045621C"/>
    <w:rsid w:val="00473C7C"/>
    <w:rsid w:val="00493566"/>
    <w:rsid w:val="00497538"/>
    <w:rsid w:val="004A086A"/>
    <w:rsid w:val="004A1DFF"/>
    <w:rsid w:val="004A383E"/>
    <w:rsid w:val="004A5354"/>
    <w:rsid w:val="004D050D"/>
    <w:rsid w:val="004D5796"/>
    <w:rsid w:val="004D5803"/>
    <w:rsid w:val="004E6B73"/>
    <w:rsid w:val="004E7520"/>
    <w:rsid w:val="004F7E2C"/>
    <w:rsid w:val="00500883"/>
    <w:rsid w:val="00507420"/>
    <w:rsid w:val="00507E94"/>
    <w:rsid w:val="00517FDE"/>
    <w:rsid w:val="00562520"/>
    <w:rsid w:val="00566ECD"/>
    <w:rsid w:val="005719D4"/>
    <w:rsid w:val="00593902"/>
    <w:rsid w:val="005948FF"/>
    <w:rsid w:val="00597348"/>
    <w:rsid w:val="005C19CD"/>
    <w:rsid w:val="005D64C0"/>
    <w:rsid w:val="005D6621"/>
    <w:rsid w:val="00605C56"/>
    <w:rsid w:val="00617C92"/>
    <w:rsid w:val="00623915"/>
    <w:rsid w:val="006310F1"/>
    <w:rsid w:val="00633484"/>
    <w:rsid w:val="00633AD7"/>
    <w:rsid w:val="0064193A"/>
    <w:rsid w:val="00642B5C"/>
    <w:rsid w:val="00651949"/>
    <w:rsid w:val="00652B39"/>
    <w:rsid w:val="0065701A"/>
    <w:rsid w:val="006723BC"/>
    <w:rsid w:val="00684C73"/>
    <w:rsid w:val="00690548"/>
    <w:rsid w:val="006C04DD"/>
    <w:rsid w:val="006D0986"/>
    <w:rsid w:val="006D6099"/>
    <w:rsid w:val="006F357D"/>
    <w:rsid w:val="007142CB"/>
    <w:rsid w:val="00723658"/>
    <w:rsid w:val="00725B4C"/>
    <w:rsid w:val="00733B72"/>
    <w:rsid w:val="00733C09"/>
    <w:rsid w:val="00761AEA"/>
    <w:rsid w:val="0076479A"/>
    <w:rsid w:val="007672F2"/>
    <w:rsid w:val="00787A28"/>
    <w:rsid w:val="00795C31"/>
    <w:rsid w:val="007A1984"/>
    <w:rsid w:val="007A763C"/>
    <w:rsid w:val="007B6532"/>
    <w:rsid w:val="007C0578"/>
    <w:rsid w:val="007C3A34"/>
    <w:rsid w:val="007E4ED6"/>
    <w:rsid w:val="007E69F8"/>
    <w:rsid w:val="007E792B"/>
    <w:rsid w:val="007F0F77"/>
    <w:rsid w:val="008120A2"/>
    <w:rsid w:val="00821425"/>
    <w:rsid w:val="00832CFB"/>
    <w:rsid w:val="0083644C"/>
    <w:rsid w:val="00843AF6"/>
    <w:rsid w:val="00845277"/>
    <w:rsid w:val="00851CB2"/>
    <w:rsid w:val="008675E9"/>
    <w:rsid w:val="00892C75"/>
    <w:rsid w:val="008936B8"/>
    <w:rsid w:val="008A4E87"/>
    <w:rsid w:val="008C0CA3"/>
    <w:rsid w:val="008C12EB"/>
    <w:rsid w:val="008C1A4D"/>
    <w:rsid w:val="008D487F"/>
    <w:rsid w:val="008D6B38"/>
    <w:rsid w:val="008E28A6"/>
    <w:rsid w:val="008F0457"/>
    <w:rsid w:val="0091320A"/>
    <w:rsid w:val="00913FB3"/>
    <w:rsid w:val="009226C3"/>
    <w:rsid w:val="00927096"/>
    <w:rsid w:val="00945EB1"/>
    <w:rsid w:val="009512F9"/>
    <w:rsid w:val="00976664"/>
    <w:rsid w:val="00986366"/>
    <w:rsid w:val="00992F90"/>
    <w:rsid w:val="009A305B"/>
    <w:rsid w:val="009B114D"/>
    <w:rsid w:val="009C6710"/>
    <w:rsid w:val="009D2B7B"/>
    <w:rsid w:val="00A00DD0"/>
    <w:rsid w:val="00A07847"/>
    <w:rsid w:val="00A20706"/>
    <w:rsid w:val="00A22D53"/>
    <w:rsid w:val="00A25180"/>
    <w:rsid w:val="00A25D6A"/>
    <w:rsid w:val="00A318EB"/>
    <w:rsid w:val="00A4431E"/>
    <w:rsid w:val="00A53EC9"/>
    <w:rsid w:val="00A572C5"/>
    <w:rsid w:val="00A57935"/>
    <w:rsid w:val="00A70F8E"/>
    <w:rsid w:val="00A71848"/>
    <w:rsid w:val="00A839A6"/>
    <w:rsid w:val="00A86332"/>
    <w:rsid w:val="00A87653"/>
    <w:rsid w:val="00A9412C"/>
    <w:rsid w:val="00A9596A"/>
    <w:rsid w:val="00AB0408"/>
    <w:rsid w:val="00AC4057"/>
    <w:rsid w:val="00AC4EB6"/>
    <w:rsid w:val="00AD75F4"/>
    <w:rsid w:val="00AF4E56"/>
    <w:rsid w:val="00B02FBD"/>
    <w:rsid w:val="00B14180"/>
    <w:rsid w:val="00B26AF0"/>
    <w:rsid w:val="00B3361B"/>
    <w:rsid w:val="00B5013B"/>
    <w:rsid w:val="00B56F10"/>
    <w:rsid w:val="00B57C6E"/>
    <w:rsid w:val="00B757A2"/>
    <w:rsid w:val="00B75BAD"/>
    <w:rsid w:val="00B81A5B"/>
    <w:rsid w:val="00BB76E5"/>
    <w:rsid w:val="00BE23D1"/>
    <w:rsid w:val="00BF5390"/>
    <w:rsid w:val="00BF69BF"/>
    <w:rsid w:val="00C07F57"/>
    <w:rsid w:val="00C1244F"/>
    <w:rsid w:val="00C1264B"/>
    <w:rsid w:val="00C15741"/>
    <w:rsid w:val="00C337A2"/>
    <w:rsid w:val="00C37A0E"/>
    <w:rsid w:val="00C44BB8"/>
    <w:rsid w:val="00C52FE0"/>
    <w:rsid w:val="00C735E5"/>
    <w:rsid w:val="00CB66CC"/>
    <w:rsid w:val="00CD21C0"/>
    <w:rsid w:val="00CE7221"/>
    <w:rsid w:val="00CF0FD6"/>
    <w:rsid w:val="00CF58D8"/>
    <w:rsid w:val="00D265E4"/>
    <w:rsid w:val="00D323D0"/>
    <w:rsid w:val="00D479A6"/>
    <w:rsid w:val="00D522B9"/>
    <w:rsid w:val="00D60B1E"/>
    <w:rsid w:val="00D614BD"/>
    <w:rsid w:val="00D73E97"/>
    <w:rsid w:val="00D8181D"/>
    <w:rsid w:val="00D85ED3"/>
    <w:rsid w:val="00DB3506"/>
    <w:rsid w:val="00DB5D27"/>
    <w:rsid w:val="00DE1D2C"/>
    <w:rsid w:val="00DE61F1"/>
    <w:rsid w:val="00E01AAE"/>
    <w:rsid w:val="00E0754C"/>
    <w:rsid w:val="00E25BE3"/>
    <w:rsid w:val="00E26DD8"/>
    <w:rsid w:val="00E27E01"/>
    <w:rsid w:val="00E34EDB"/>
    <w:rsid w:val="00E35E7D"/>
    <w:rsid w:val="00E54EFE"/>
    <w:rsid w:val="00E554D5"/>
    <w:rsid w:val="00E56E29"/>
    <w:rsid w:val="00E62E2E"/>
    <w:rsid w:val="00E8782C"/>
    <w:rsid w:val="00E97DA5"/>
    <w:rsid w:val="00EB100F"/>
    <w:rsid w:val="00EB6901"/>
    <w:rsid w:val="00ED76B6"/>
    <w:rsid w:val="00EE1544"/>
    <w:rsid w:val="00F05049"/>
    <w:rsid w:val="00F05D88"/>
    <w:rsid w:val="00F33419"/>
    <w:rsid w:val="00F43674"/>
    <w:rsid w:val="00F6513D"/>
    <w:rsid w:val="00F65FE7"/>
    <w:rsid w:val="00F73BC8"/>
    <w:rsid w:val="00FA34EC"/>
    <w:rsid w:val="00FB5842"/>
    <w:rsid w:val="00FB7BE6"/>
    <w:rsid w:val="00FC13F6"/>
    <w:rsid w:val="00FC5ADF"/>
    <w:rsid w:val="00FE3300"/>
    <w:rsid w:val="00FF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o:shapelayout v:ext="edit">
      <o:idmap v:ext="edit" data="1"/>
    </o:shapelayout>
  </w:shapeDefaults>
  <w:decimalSymbol w:val=","/>
  <w:listSeparator w:val=";"/>
  <w14:docId w14:val="1872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jrnl">
    <w:name w:val="jrnl"/>
    <w:rsid w:val="008E28A6"/>
  </w:style>
  <w:style w:type="character" w:customStyle="1" w:styleId="A12">
    <w:name w:val="A12"/>
    <w:uiPriority w:val="99"/>
    <w:rsid w:val="008E28A6"/>
    <w:rPr>
      <w:rFonts w:cs="Minion Pro"/>
      <w:color w:val="211D1E"/>
      <w:sz w:val="11"/>
      <w:szCs w:val="11"/>
    </w:rPr>
  </w:style>
  <w:style w:type="paragraph" w:styleId="Revision">
    <w:name w:val="Revision"/>
    <w:hidden/>
    <w:uiPriority w:val="99"/>
    <w:semiHidden/>
    <w:rsid w:val="00E27E01"/>
    <w:rPr>
      <w:rFonts w:ascii="Verdana" w:hAnsi="Verdana" w:cs="Verdana"/>
      <w:sz w:val="18"/>
      <w:szCs w:val="18"/>
      <w:lang w:val="en-GB" w:eastAsia="zh-CN"/>
    </w:rPr>
  </w:style>
  <w:style w:type="character" w:customStyle="1" w:styleId="CommentTextChar">
    <w:name w:val="Comment Text Char"/>
    <w:link w:val="CommentText"/>
    <w:semiHidden/>
    <w:rsid w:val="00927096"/>
    <w:rPr>
      <w:rFonts w:ascii="Verdana" w:hAnsi="Verdana" w:cs="Verdana"/>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jrnl">
    <w:name w:val="jrnl"/>
    <w:rsid w:val="008E28A6"/>
  </w:style>
  <w:style w:type="character" w:customStyle="1" w:styleId="A12">
    <w:name w:val="A12"/>
    <w:uiPriority w:val="99"/>
    <w:rsid w:val="008E28A6"/>
    <w:rPr>
      <w:rFonts w:cs="Minion Pro"/>
      <w:color w:val="211D1E"/>
      <w:sz w:val="11"/>
      <w:szCs w:val="11"/>
    </w:rPr>
  </w:style>
  <w:style w:type="paragraph" w:styleId="Revision">
    <w:name w:val="Revision"/>
    <w:hidden/>
    <w:uiPriority w:val="99"/>
    <w:semiHidden/>
    <w:rsid w:val="00E27E01"/>
    <w:rPr>
      <w:rFonts w:ascii="Verdana" w:hAnsi="Verdana" w:cs="Verdana"/>
      <w:sz w:val="18"/>
      <w:szCs w:val="18"/>
      <w:lang w:val="en-GB" w:eastAsia="zh-CN"/>
    </w:rPr>
  </w:style>
  <w:style w:type="character" w:customStyle="1" w:styleId="CommentTextChar">
    <w:name w:val="Comment Text Char"/>
    <w:link w:val="CommentText"/>
    <w:semiHidden/>
    <w:rsid w:val="00927096"/>
    <w:rPr>
      <w:rFonts w:ascii="Verdana" w:hAnsi="Verdana" w:cs="Verdan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1700">
      <w:bodyDiv w:val="1"/>
      <w:marLeft w:val="0"/>
      <w:marRight w:val="0"/>
      <w:marTop w:val="0"/>
      <w:marBottom w:val="0"/>
      <w:divBdr>
        <w:top w:val="none" w:sz="0" w:space="0" w:color="auto"/>
        <w:left w:val="none" w:sz="0" w:space="0" w:color="auto"/>
        <w:bottom w:val="none" w:sz="0" w:space="0" w:color="auto"/>
        <w:right w:val="none" w:sz="0" w:space="0" w:color="auto"/>
      </w:divBdr>
    </w:div>
    <w:div w:id="198014029">
      <w:bodyDiv w:val="1"/>
      <w:marLeft w:val="0"/>
      <w:marRight w:val="0"/>
      <w:marTop w:val="0"/>
      <w:marBottom w:val="0"/>
      <w:divBdr>
        <w:top w:val="none" w:sz="0" w:space="0" w:color="auto"/>
        <w:left w:val="none" w:sz="0" w:space="0" w:color="auto"/>
        <w:bottom w:val="none" w:sz="0" w:space="0" w:color="auto"/>
        <w:right w:val="none" w:sz="0" w:space="0" w:color="auto"/>
      </w:divBdr>
    </w:div>
    <w:div w:id="313803386">
      <w:bodyDiv w:val="1"/>
      <w:marLeft w:val="0"/>
      <w:marRight w:val="0"/>
      <w:marTop w:val="0"/>
      <w:marBottom w:val="0"/>
      <w:divBdr>
        <w:top w:val="none" w:sz="0" w:space="0" w:color="auto"/>
        <w:left w:val="none" w:sz="0" w:space="0" w:color="auto"/>
        <w:bottom w:val="none" w:sz="0" w:space="0" w:color="auto"/>
        <w:right w:val="none" w:sz="0" w:space="0" w:color="auto"/>
      </w:divBdr>
    </w:div>
    <w:div w:id="786047624">
      <w:bodyDiv w:val="1"/>
      <w:marLeft w:val="0"/>
      <w:marRight w:val="0"/>
      <w:marTop w:val="0"/>
      <w:marBottom w:val="0"/>
      <w:divBdr>
        <w:top w:val="none" w:sz="0" w:space="0" w:color="auto"/>
        <w:left w:val="none" w:sz="0" w:space="0" w:color="auto"/>
        <w:bottom w:val="none" w:sz="0" w:space="0" w:color="auto"/>
        <w:right w:val="none" w:sz="0" w:space="0" w:color="auto"/>
      </w:divBdr>
    </w:div>
    <w:div w:id="827936532">
      <w:bodyDiv w:val="1"/>
      <w:marLeft w:val="0"/>
      <w:marRight w:val="0"/>
      <w:marTop w:val="0"/>
      <w:marBottom w:val="0"/>
      <w:divBdr>
        <w:top w:val="none" w:sz="0" w:space="0" w:color="auto"/>
        <w:left w:val="none" w:sz="0" w:space="0" w:color="auto"/>
        <w:bottom w:val="none" w:sz="0" w:space="0" w:color="auto"/>
        <w:right w:val="none" w:sz="0" w:space="0" w:color="auto"/>
      </w:divBdr>
    </w:div>
    <w:div w:id="1028481291">
      <w:bodyDiv w:val="1"/>
      <w:marLeft w:val="0"/>
      <w:marRight w:val="0"/>
      <w:marTop w:val="0"/>
      <w:marBottom w:val="0"/>
      <w:divBdr>
        <w:top w:val="none" w:sz="0" w:space="0" w:color="auto"/>
        <w:left w:val="none" w:sz="0" w:space="0" w:color="auto"/>
        <w:bottom w:val="none" w:sz="0" w:space="0" w:color="auto"/>
        <w:right w:val="none" w:sz="0" w:space="0" w:color="auto"/>
      </w:divBdr>
    </w:div>
    <w:div w:id="1104614269">
      <w:bodyDiv w:val="1"/>
      <w:marLeft w:val="0"/>
      <w:marRight w:val="0"/>
      <w:marTop w:val="0"/>
      <w:marBottom w:val="0"/>
      <w:divBdr>
        <w:top w:val="none" w:sz="0" w:space="0" w:color="auto"/>
        <w:left w:val="none" w:sz="0" w:space="0" w:color="auto"/>
        <w:bottom w:val="none" w:sz="0" w:space="0" w:color="auto"/>
        <w:right w:val="none" w:sz="0" w:space="0" w:color="auto"/>
      </w:divBdr>
    </w:div>
    <w:div w:id="1405488291">
      <w:bodyDiv w:val="1"/>
      <w:marLeft w:val="0"/>
      <w:marRight w:val="0"/>
      <w:marTop w:val="0"/>
      <w:marBottom w:val="0"/>
      <w:divBdr>
        <w:top w:val="none" w:sz="0" w:space="0" w:color="auto"/>
        <w:left w:val="none" w:sz="0" w:space="0" w:color="auto"/>
        <w:bottom w:val="none" w:sz="0" w:space="0" w:color="auto"/>
        <w:right w:val="none" w:sz="0" w:space="0" w:color="auto"/>
      </w:divBdr>
    </w:div>
    <w:div w:id="1583106085">
      <w:bodyDiv w:val="1"/>
      <w:marLeft w:val="0"/>
      <w:marRight w:val="0"/>
      <w:marTop w:val="0"/>
      <w:marBottom w:val="0"/>
      <w:divBdr>
        <w:top w:val="none" w:sz="0" w:space="0" w:color="auto"/>
        <w:left w:val="none" w:sz="0" w:space="0" w:color="auto"/>
        <w:bottom w:val="none" w:sz="0" w:space="0" w:color="auto"/>
        <w:right w:val="none" w:sz="0" w:space="0" w:color="auto"/>
      </w:divBdr>
    </w:div>
    <w:div w:id="1683780797">
      <w:bodyDiv w:val="1"/>
      <w:marLeft w:val="0"/>
      <w:marRight w:val="0"/>
      <w:marTop w:val="0"/>
      <w:marBottom w:val="0"/>
      <w:divBdr>
        <w:top w:val="none" w:sz="0" w:space="0" w:color="auto"/>
        <w:left w:val="none" w:sz="0" w:space="0" w:color="auto"/>
        <w:bottom w:val="none" w:sz="0" w:space="0" w:color="auto"/>
        <w:right w:val="none" w:sz="0" w:space="0" w:color="auto"/>
      </w:divBdr>
    </w:div>
    <w:div w:id="1784685634">
      <w:bodyDiv w:val="1"/>
      <w:marLeft w:val="0"/>
      <w:marRight w:val="0"/>
      <w:marTop w:val="0"/>
      <w:marBottom w:val="0"/>
      <w:divBdr>
        <w:top w:val="none" w:sz="0" w:space="0" w:color="auto"/>
        <w:left w:val="none" w:sz="0" w:space="0" w:color="auto"/>
        <w:bottom w:val="none" w:sz="0" w:space="0" w:color="auto"/>
        <w:right w:val="none" w:sz="0" w:space="0" w:color="auto"/>
      </w:divBdr>
    </w:div>
    <w:div w:id="1790780942">
      <w:bodyDiv w:val="1"/>
      <w:marLeft w:val="0"/>
      <w:marRight w:val="0"/>
      <w:marTop w:val="0"/>
      <w:marBottom w:val="0"/>
      <w:divBdr>
        <w:top w:val="none" w:sz="0" w:space="0" w:color="auto"/>
        <w:left w:val="none" w:sz="0" w:space="0" w:color="auto"/>
        <w:bottom w:val="none" w:sz="0" w:space="0" w:color="auto"/>
        <w:right w:val="none" w:sz="0" w:space="0" w:color="auto"/>
      </w:divBdr>
    </w:div>
    <w:div w:id="18603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A4F2-F309-DB47-A3C9-DCBEED99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4370</Words>
  <Characters>24915</Characters>
  <Application>Microsoft Macintosh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2015-06-17T10:07:00Z</cp:lastPrinted>
  <dcterms:created xsi:type="dcterms:W3CDTF">2015-10-20T09:34:00Z</dcterms:created>
  <dcterms:modified xsi:type="dcterms:W3CDTF">2015-10-20T09:34:00Z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