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E3D" w:rsidRPr="00100E3D" w:rsidRDefault="003461DA" w:rsidP="0061555A">
      <w:pPr>
        <w:spacing w:line="240" w:lineRule="auto"/>
        <w:rPr>
          <w:rFonts w:ascii="Arial" w:hAnsi="Arial" w:cs="Arial"/>
          <w:b/>
          <w:color w:val="002060"/>
          <w:sz w:val="32"/>
          <w:szCs w:val="32"/>
        </w:rPr>
      </w:pPr>
      <w:bookmarkStart w:id="0" w:name="_GoBack"/>
      <w:bookmarkEnd w:id="0"/>
      <w:r w:rsidRPr="003461DA">
        <w:rPr>
          <w:rFonts w:ascii="Arial" w:hAnsi="Arial" w:cs="Arial"/>
          <w:b/>
          <w:bCs/>
          <w:i/>
          <w:sz w:val="32"/>
          <w:szCs w:val="32"/>
          <w:lang w:val="en-US"/>
        </w:rPr>
        <w:t>The cost of no Europe: costs and consequences of localized or centralized assessment of relative efficacy</w:t>
      </w:r>
    </w:p>
    <w:p w:rsidR="00611903" w:rsidRPr="0061555A" w:rsidRDefault="003461DA" w:rsidP="0061555A">
      <w:pPr>
        <w:spacing w:after="0" w:line="240" w:lineRule="auto"/>
        <w:rPr>
          <w:rFonts w:ascii="Arial" w:hAnsi="Arial" w:cs="Arial"/>
          <w:b/>
          <w:bCs/>
          <w:i/>
          <w:lang w:val="en-US"/>
        </w:rPr>
      </w:pPr>
      <w:r w:rsidRPr="0061555A">
        <w:rPr>
          <w:rFonts w:ascii="Arial" w:hAnsi="Arial" w:cs="Arial"/>
          <w:b/>
          <w:sz w:val="24"/>
          <w:szCs w:val="32"/>
        </w:rPr>
        <w:t>Issues Panel Session: ISPOR 18th Annual European Congress</w:t>
      </w:r>
    </w:p>
    <w:p w:rsidR="00375C0C" w:rsidRPr="00100E3D" w:rsidRDefault="00375C0C" w:rsidP="0061555A">
      <w:pPr>
        <w:spacing w:after="0" w:line="240" w:lineRule="auto"/>
        <w:rPr>
          <w:rFonts w:ascii="Arial" w:hAnsi="Arial" w:cs="Arial"/>
          <w:b/>
          <w:bCs/>
          <w:i/>
          <w:lang w:val="en-US"/>
        </w:rPr>
      </w:pPr>
      <w:r w:rsidRPr="00100E3D">
        <w:rPr>
          <w:rFonts w:ascii="Arial" w:hAnsi="Arial" w:cs="Arial"/>
          <w:b/>
        </w:rPr>
        <w:t>Tuesday 10 November</w:t>
      </w:r>
      <w:r w:rsidR="00057CF4" w:rsidRPr="00100E3D">
        <w:rPr>
          <w:rFonts w:ascii="Arial" w:hAnsi="Arial" w:cs="Arial"/>
          <w:b/>
        </w:rPr>
        <w:t xml:space="preserve"> 2015</w:t>
      </w:r>
      <w:r w:rsidRPr="00100E3D">
        <w:rPr>
          <w:rFonts w:ascii="Arial" w:hAnsi="Arial" w:cs="Arial"/>
          <w:b/>
        </w:rPr>
        <w:br/>
        <w:t xml:space="preserve"> </w:t>
      </w:r>
    </w:p>
    <w:p w:rsidR="00375C0C" w:rsidRPr="00100E3D" w:rsidRDefault="00375C0C">
      <w:pPr>
        <w:rPr>
          <w:rFonts w:ascii="Arial" w:hAnsi="Arial" w:cs="Arial"/>
          <w:b/>
          <w:color w:val="00B0F0"/>
          <w:sz w:val="32"/>
          <w:szCs w:val="32"/>
        </w:rPr>
      </w:pPr>
      <w:r w:rsidRPr="00100E3D">
        <w:rPr>
          <w:rFonts w:ascii="Arial" w:hAnsi="Arial" w:cs="Arial"/>
          <w:b/>
          <w:color w:val="00B0F0"/>
          <w:sz w:val="32"/>
          <w:szCs w:val="32"/>
        </w:rPr>
        <w:t>Executive Summary</w:t>
      </w:r>
    </w:p>
    <w:p w:rsidR="00BA32DD" w:rsidRPr="00B80E74" w:rsidRDefault="00FF0D7E" w:rsidP="00B80E74">
      <w:pPr>
        <w:rPr>
          <w:rFonts w:ascii="Arial" w:hAnsi="Arial" w:cs="Arial"/>
          <w:sz w:val="20"/>
          <w:szCs w:val="20"/>
        </w:rPr>
      </w:pPr>
      <w:r w:rsidRPr="00B80E74">
        <w:rPr>
          <w:rFonts w:ascii="Arial" w:hAnsi="Arial" w:cs="Arial"/>
          <w:sz w:val="20"/>
          <w:szCs w:val="20"/>
        </w:rPr>
        <w:t>Despite attempts to harmonize access to medicines for patients in Europe</w:t>
      </w:r>
      <w:r w:rsidR="00B80E74">
        <w:rPr>
          <w:rFonts w:ascii="Arial" w:hAnsi="Arial" w:cs="Arial"/>
          <w:sz w:val="20"/>
          <w:szCs w:val="20"/>
        </w:rPr>
        <w:t xml:space="preserve"> by numerous organizations including the European Commission, EUnetHTA, industry organizations, and patient groups</w:t>
      </w:r>
      <w:r w:rsidRPr="00B80E74">
        <w:rPr>
          <w:rFonts w:ascii="Arial" w:hAnsi="Arial" w:cs="Arial"/>
          <w:sz w:val="20"/>
          <w:szCs w:val="20"/>
        </w:rPr>
        <w:t xml:space="preserve">, </w:t>
      </w:r>
      <w:r w:rsidR="00B80E74">
        <w:rPr>
          <w:rFonts w:ascii="Arial" w:hAnsi="Arial" w:cs="Arial"/>
          <w:sz w:val="20"/>
          <w:szCs w:val="20"/>
        </w:rPr>
        <w:t xml:space="preserve">heterogeneity </w:t>
      </w:r>
      <w:r w:rsidR="00611903" w:rsidRPr="00B80E74">
        <w:rPr>
          <w:rFonts w:ascii="Arial" w:hAnsi="Arial" w:cs="Arial"/>
          <w:sz w:val="20"/>
          <w:szCs w:val="20"/>
        </w:rPr>
        <w:t xml:space="preserve">in </w:t>
      </w:r>
      <w:r w:rsidR="00A37AE2">
        <w:rPr>
          <w:rFonts w:ascii="Arial" w:hAnsi="Arial" w:cs="Arial"/>
          <w:sz w:val="20"/>
          <w:szCs w:val="20"/>
        </w:rPr>
        <w:t>Health Technology Assessment (</w:t>
      </w:r>
      <w:r w:rsidR="00611903" w:rsidRPr="00B80E74">
        <w:rPr>
          <w:rFonts w:ascii="Arial" w:hAnsi="Arial" w:cs="Arial"/>
          <w:sz w:val="20"/>
          <w:szCs w:val="20"/>
        </w:rPr>
        <w:t>HTA</w:t>
      </w:r>
      <w:r w:rsidR="00A37AE2">
        <w:rPr>
          <w:rFonts w:ascii="Arial" w:hAnsi="Arial" w:cs="Arial"/>
          <w:sz w:val="20"/>
          <w:szCs w:val="20"/>
        </w:rPr>
        <w:t>)</w:t>
      </w:r>
      <w:r w:rsidR="00611903" w:rsidRPr="00B80E74">
        <w:rPr>
          <w:rFonts w:ascii="Arial" w:hAnsi="Arial" w:cs="Arial"/>
          <w:sz w:val="20"/>
          <w:szCs w:val="20"/>
        </w:rPr>
        <w:t xml:space="preserve"> evaluation of medicines </w:t>
      </w:r>
      <w:r w:rsidR="00B80E74">
        <w:rPr>
          <w:rFonts w:ascii="Arial" w:hAnsi="Arial" w:cs="Arial"/>
          <w:sz w:val="20"/>
          <w:szCs w:val="20"/>
        </w:rPr>
        <w:t>across Member States continues to create inconsistent access decisions</w:t>
      </w:r>
      <w:r w:rsidR="0066644B" w:rsidRPr="00B80E74">
        <w:rPr>
          <w:rFonts w:ascii="Arial" w:hAnsi="Arial" w:cs="Arial"/>
          <w:sz w:val="20"/>
          <w:szCs w:val="20"/>
        </w:rPr>
        <w:t xml:space="preserve">. </w:t>
      </w:r>
      <w:r w:rsidR="00611903" w:rsidRPr="00B80E74">
        <w:rPr>
          <w:rFonts w:ascii="Arial" w:hAnsi="Arial" w:cs="Arial"/>
          <w:sz w:val="20"/>
          <w:szCs w:val="20"/>
        </w:rPr>
        <w:t xml:space="preserve">The objective of the Issue Panel was to </w:t>
      </w:r>
      <w:r w:rsidR="006864B2">
        <w:rPr>
          <w:rFonts w:ascii="Arial" w:hAnsi="Arial" w:cs="Arial"/>
          <w:sz w:val="20"/>
          <w:szCs w:val="20"/>
        </w:rPr>
        <w:t xml:space="preserve">discuss </w:t>
      </w:r>
      <w:r w:rsidR="00B80E74">
        <w:rPr>
          <w:rFonts w:ascii="Arial" w:hAnsi="Arial" w:cs="Arial"/>
          <w:sz w:val="20"/>
          <w:szCs w:val="20"/>
        </w:rPr>
        <w:t>where convergence efforts should be focused, and what</w:t>
      </w:r>
      <w:r w:rsidR="006864B2">
        <w:rPr>
          <w:rFonts w:ascii="Arial" w:hAnsi="Arial" w:cs="Arial"/>
          <w:sz w:val="20"/>
          <w:szCs w:val="20"/>
        </w:rPr>
        <w:t xml:space="preserve"> level of harmonisation</w:t>
      </w:r>
      <w:r w:rsidR="00B80E74">
        <w:rPr>
          <w:rFonts w:ascii="Arial" w:hAnsi="Arial" w:cs="Arial"/>
          <w:sz w:val="20"/>
          <w:szCs w:val="20"/>
        </w:rPr>
        <w:t xml:space="preserve"> might be viable from the perspective of Member State autonomy</w:t>
      </w:r>
      <w:r w:rsidR="001D4CFE" w:rsidRPr="00B80E74">
        <w:rPr>
          <w:rFonts w:ascii="Arial" w:hAnsi="Arial" w:cs="Arial"/>
          <w:sz w:val="20"/>
          <w:szCs w:val="20"/>
        </w:rPr>
        <w:t xml:space="preserve">. </w:t>
      </w:r>
      <w:r w:rsidR="00B80E74">
        <w:rPr>
          <w:rFonts w:ascii="Arial" w:hAnsi="Arial" w:cs="Arial"/>
          <w:sz w:val="20"/>
          <w:szCs w:val="20"/>
        </w:rPr>
        <w:t xml:space="preserve">An analysis of the extent of </w:t>
      </w:r>
      <w:r w:rsidR="001D4CFE" w:rsidRPr="00B80E74">
        <w:rPr>
          <w:rFonts w:ascii="Arial" w:hAnsi="Arial" w:cs="Arial"/>
          <w:sz w:val="20"/>
          <w:szCs w:val="20"/>
        </w:rPr>
        <w:t xml:space="preserve">HTA </w:t>
      </w:r>
      <w:r w:rsidR="00B80E74">
        <w:rPr>
          <w:rFonts w:ascii="Arial" w:hAnsi="Arial" w:cs="Arial"/>
          <w:sz w:val="20"/>
          <w:szCs w:val="20"/>
        </w:rPr>
        <w:t xml:space="preserve">convergence </w:t>
      </w:r>
      <w:r w:rsidR="001D4CFE" w:rsidRPr="00B80E74">
        <w:rPr>
          <w:rFonts w:ascii="Arial" w:hAnsi="Arial" w:cs="Arial"/>
          <w:sz w:val="20"/>
          <w:szCs w:val="20"/>
        </w:rPr>
        <w:t>in Europe</w:t>
      </w:r>
      <w:r w:rsidR="00B80E74">
        <w:rPr>
          <w:rFonts w:ascii="Arial" w:hAnsi="Arial" w:cs="Arial"/>
          <w:sz w:val="20"/>
          <w:szCs w:val="20"/>
        </w:rPr>
        <w:t xml:space="preserve"> provided context for the session</w:t>
      </w:r>
      <w:r w:rsidR="00BA32DD" w:rsidRPr="00B80E74">
        <w:rPr>
          <w:rFonts w:ascii="Arial" w:hAnsi="Arial" w:cs="Arial"/>
          <w:sz w:val="20"/>
          <w:szCs w:val="20"/>
        </w:rPr>
        <w:t xml:space="preserve">, </w:t>
      </w:r>
      <w:r w:rsidR="00B80E74">
        <w:rPr>
          <w:rFonts w:ascii="Arial" w:hAnsi="Arial" w:cs="Arial"/>
          <w:sz w:val="20"/>
          <w:szCs w:val="20"/>
        </w:rPr>
        <w:t xml:space="preserve">followed by both </w:t>
      </w:r>
      <w:r w:rsidR="00BA32DD" w:rsidRPr="00B80E74">
        <w:rPr>
          <w:rFonts w:ascii="Arial" w:hAnsi="Arial" w:cs="Arial"/>
          <w:sz w:val="20"/>
          <w:szCs w:val="20"/>
        </w:rPr>
        <w:t>Industry and Member State</w:t>
      </w:r>
      <w:r w:rsidR="00B80E74">
        <w:rPr>
          <w:rFonts w:ascii="Arial" w:hAnsi="Arial" w:cs="Arial"/>
          <w:sz w:val="20"/>
          <w:szCs w:val="20"/>
        </w:rPr>
        <w:t xml:space="preserve"> views on convergence and cooperation on HTA</w:t>
      </w:r>
      <w:r w:rsidR="00BA32DD" w:rsidRPr="00B80E74">
        <w:rPr>
          <w:rFonts w:ascii="Arial" w:hAnsi="Arial" w:cs="Arial"/>
          <w:sz w:val="20"/>
          <w:szCs w:val="20"/>
        </w:rPr>
        <w:t>.</w:t>
      </w:r>
    </w:p>
    <w:p w:rsidR="00F1400C" w:rsidRPr="00B80E74" w:rsidRDefault="001C0299" w:rsidP="00B80E74">
      <w:pPr>
        <w:rPr>
          <w:rFonts w:ascii="Arial" w:hAnsi="Arial" w:cs="Arial"/>
          <w:b/>
          <w:sz w:val="20"/>
          <w:szCs w:val="20"/>
        </w:rPr>
      </w:pPr>
      <w:r w:rsidRPr="00B80E74">
        <w:rPr>
          <w:rFonts w:ascii="Arial" w:hAnsi="Arial" w:cs="Arial"/>
          <w:sz w:val="20"/>
          <w:szCs w:val="20"/>
        </w:rPr>
        <w:t xml:space="preserve">With over 170 people in attendance, the Issue Panel addressed key issues relating to HTA </w:t>
      </w:r>
      <w:r w:rsidR="00C2250D">
        <w:rPr>
          <w:rFonts w:ascii="Arial" w:hAnsi="Arial" w:cs="Arial"/>
          <w:sz w:val="20"/>
          <w:szCs w:val="20"/>
        </w:rPr>
        <w:t xml:space="preserve">heterogeneity and cooperation efforts </w:t>
      </w:r>
      <w:r w:rsidRPr="00B80E74">
        <w:rPr>
          <w:rFonts w:ascii="Arial" w:hAnsi="Arial" w:cs="Arial"/>
          <w:sz w:val="20"/>
          <w:szCs w:val="20"/>
        </w:rPr>
        <w:t>across Europe</w:t>
      </w:r>
      <w:r w:rsidR="00BB6240" w:rsidRPr="00B80E74">
        <w:rPr>
          <w:rFonts w:ascii="Arial" w:hAnsi="Arial" w:cs="Arial"/>
          <w:sz w:val="20"/>
          <w:szCs w:val="20"/>
        </w:rPr>
        <w:t xml:space="preserve">. </w:t>
      </w:r>
      <w:r w:rsidR="006D31DD">
        <w:rPr>
          <w:rFonts w:ascii="Arial" w:hAnsi="Arial" w:cs="Arial"/>
          <w:sz w:val="20"/>
          <w:szCs w:val="20"/>
        </w:rPr>
        <w:t xml:space="preserve">Among the </w:t>
      </w:r>
      <w:r w:rsidR="00BB6240" w:rsidRPr="00B80E74">
        <w:rPr>
          <w:rFonts w:ascii="Arial" w:hAnsi="Arial" w:cs="Arial"/>
          <w:sz w:val="20"/>
          <w:szCs w:val="20"/>
        </w:rPr>
        <w:t>key themes</w:t>
      </w:r>
      <w:r w:rsidR="00A37AE2">
        <w:rPr>
          <w:rFonts w:ascii="Arial" w:hAnsi="Arial" w:cs="Arial"/>
          <w:sz w:val="20"/>
          <w:szCs w:val="20"/>
        </w:rPr>
        <w:t>,</w:t>
      </w:r>
      <w:r w:rsidR="00BB6240" w:rsidRPr="00B80E74">
        <w:rPr>
          <w:rFonts w:ascii="Arial" w:hAnsi="Arial" w:cs="Arial"/>
          <w:sz w:val="20"/>
          <w:szCs w:val="20"/>
        </w:rPr>
        <w:t xml:space="preserve"> </w:t>
      </w:r>
      <w:r w:rsidR="006D31DD">
        <w:rPr>
          <w:rFonts w:ascii="Arial" w:hAnsi="Arial" w:cs="Arial"/>
          <w:sz w:val="20"/>
          <w:szCs w:val="20"/>
        </w:rPr>
        <w:t xml:space="preserve">two were identified </w:t>
      </w:r>
      <w:r w:rsidR="00A37AE2">
        <w:rPr>
          <w:rFonts w:ascii="Arial" w:hAnsi="Arial" w:cs="Arial"/>
          <w:sz w:val="20"/>
          <w:szCs w:val="20"/>
        </w:rPr>
        <w:t>as priority areas</w:t>
      </w:r>
      <w:r w:rsidR="00BB6240" w:rsidRPr="00B80E74">
        <w:rPr>
          <w:rFonts w:ascii="Arial" w:hAnsi="Arial" w:cs="Arial"/>
          <w:sz w:val="20"/>
          <w:szCs w:val="20"/>
        </w:rPr>
        <w:t>:</w:t>
      </w:r>
    </w:p>
    <w:p w:rsidR="00114D3F" w:rsidRPr="00581FC9" w:rsidRDefault="00114D3F" w:rsidP="00114D3F">
      <w:pPr>
        <w:pStyle w:val="ListParagraph"/>
        <w:numPr>
          <w:ilvl w:val="0"/>
          <w:numId w:val="5"/>
        </w:numPr>
        <w:rPr>
          <w:rFonts w:ascii="Arial" w:hAnsi="Arial" w:cs="Arial"/>
          <w:b/>
          <w:sz w:val="20"/>
          <w:szCs w:val="20"/>
        </w:rPr>
      </w:pPr>
      <w:r w:rsidRPr="00100E3D">
        <w:rPr>
          <w:rFonts w:ascii="Arial" w:hAnsi="Arial" w:cs="Arial"/>
          <w:b/>
          <w:i/>
          <w:sz w:val="20"/>
          <w:szCs w:val="20"/>
        </w:rPr>
        <w:t xml:space="preserve">Patient centricity: </w:t>
      </w:r>
      <w:r w:rsidRPr="00100E3D">
        <w:rPr>
          <w:rFonts w:ascii="Arial" w:hAnsi="Arial" w:cs="Arial"/>
          <w:sz w:val="20"/>
          <w:szCs w:val="20"/>
        </w:rPr>
        <w:t xml:space="preserve"> The </w:t>
      </w:r>
      <w:r>
        <w:rPr>
          <w:rFonts w:ascii="Arial" w:hAnsi="Arial" w:cs="Arial"/>
          <w:sz w:val="20"/>
          <w:szCs w:val="20"/>
        </w:rPr>
        <w:t xml:space="preserve">importance of the </w:t>
      </w:r>
      <w:r w:rsidRPr="00100E3D">
        <w:rPr>
          <w:rFonts w:ascii="Arial" w:hAnsi="Arial" w:cs="Arial"/>
          <w:sz w:val="20"/>
          <w:szCs w:val="20"/>
        </w:rPr>
        <w:t xml:space="preserve">patient </w:t>
      </w:r>
      <w:r w:rsidR="00C2250D">
        <w:rPr>
          <w:rFonts w:ascii="Arial" w:hAnsi="Arial" w:cs="Arial"/>
          <w:sz w:val="20"/>
          <w:szCs w:val="20"/>
        </w:rPr>
        <w:t xml:space="preserve">perspective </w:t>
      </w:r>
      <w:r w:rsidRPr="00100E3D">
        <w:rPr>
          <w:rFonts w:ascii="Arial" w:hAnsi="Arial" w:cs="Arial"/>
          <w:sz w:val="20"/>
          <w:szCs w:val="20"/>
        </w:rPr>
        <w:t xml:space="preserve">was </w:t>
      </w:r>
      <w:r>
        <w:rPr>
          <w:rFonts w:ascii="Arial" w:hAnsi="Arial" w:cs="Arial"/>
          <w:sz w:val="20"/>
          <w:szCs w:val="20"/>
        </w:rPr>
        <w:t xml:space="preserve">emphasized, particularly </w:t>
      </w:r>
      <w:r w:rsidRPr="00100E3D">
        <w:rPr>
          <w:rFonts w:ascii="Arial" w:hAnsi="Arial" w:cs="Arial"/>
          <w:sz w:val="20"/>
          <w:szCs w:val="20"/>
        </w:rPr>
        <w:t>equitable access to medicine across Europe</w:t>
      </w:r>
      <w:r w:rsidR="00C2250D">
        <w:rPr>
          <w:rFonts w:ascii="Arial" w:hAnsi="Arial" w:cs="Arial"/>
          <w:sz w:val="20"/>
          <w:szCs w:val="20"/>
        </w:rPr>
        <w:t xml:space="preserve"> </w:t>
      </w:r>
      <w:r>
        <w:rPr>
          <w:rFonts w:ascii="Arial" w:hAnsi="Arial" w:cs="Arial"/>
          <w:sz w:val="20"/>
          <w:szCs w:val="20"/>
        </w:rPr>
        <w:t>and representation of the patient voice</w:t>
      </w:r>
      <w:r w:rsidR="00C2250D">
        <w:rPr>
          <w:rFonts w:ascii="Arial" w:hAnsi="Arial" w:cs="Arial"/>
          <w:sz w:val="20"/>
          <w:szCs w:val="20"/>
        </w:rPr>
        <w:t xml:space="preserve"> in decision-making</w:t>
      </w:r>
      <w:r w:rsidRPr="00100E3D">
        <w:rPr>
          <w:rFonts w:ascii="Arial" w:hAnsi="Arial" w:cs="Arial"/>
          <w:sz w:val="20"/>
          <w:szCs w:val="20"/>
        </w:rPr>
        <w:t xml:space="preserve">. There was strong </w:t>
      </w:r>
      <w:r>
        <w:rPr>
          <w:rFonts w:ascii="Arial" w:hAnsi="Arial" w:cs="Arial"/>
          <w:sz w:val="20"/>
          <w:szCs w:val="20"/>
        </w:rPr>
        <w:t xml:space="preserve">agreement </w:t>
      </w:r>
      <w:r w:rsidRPr="00100E3D">
        <w:rPr>
          <w:rFonts w:ascii="Arial" w:hAnsi="Arial" w:cs="Arial"/>
          <w:sz w:val="20"/>
          <w:szCs w:val="20"/>
        </w:rPr>
        <w:t>that the patient is a key and vitally important stakeholder</w:t>
      </w:r>
      <w:r>
        <w:rPr>
          <w:rFonts w:ascii="Arial" w:hAnsi="Arial" w:cs="Arial"/>
          <w:sz w:val="20"/>
          <w:szCs w:val="20"/>
        </w:rPr>
        <w:t>, likely under</w:t>
      </w:r>
      <w:r w:rsidR="00771F98">
        <w:rPr>
          <w:rFonts w:ascii="Arial" w:hAnsi="Arial" w:cs="Arial"/>
          <w:sz w:val="20"/>
          <w:szCs w:val="20"/>
        </w:rPr>
        <w:t xml:space="preserve"> represen</w:t>
      </w:r>
      <w:r>
        <w:rPr>
          <w:rFonts w:ascii="Arial" w:hAnsi="Arial" w:cs="Arial"/>
          <w:sz w:val="20"/>
          <w:szCs w:val="20"/>
        </w:rPr>
        <w:t>ted today,</w:t>
      </w:r>
      <w:r w:rsidRPr="00100E3D">
        <w:rPr>
          <w:rFonts w:ascii="Arial" w:hAnsi="Arial" w:cs="Arial"/>
          <w:sz w:val="20"/>
          <w:szCs w:val="20"/>
        </w:rPr>
        <w:t xml:space="preserve"> </w:t>
      </w:r>
      <w:r>
        <w:rPr>
          <w:rFonts w:ascii="Arial" w:hAnsi="Arial" w:cs="Arial"/>
          <w:sz w:val="20"/>
          <w:szCs w:val="20"/>
        </w:rPr>
        <w:t xml:space="preserve">and should be more directly considered in </w:t>
      </w:r>
      <w:r w:rsidRPr="00100E3D">
        <w:rPr>
          <w:rFonts w:ascii="Arial" w:hAnsi="Arial" w:cs="Arial"/>
          <w:sz w:val="20"/>
          <w:szCs w:val="20"/>
        </w:rPr>
        <w:t xml:space="preserve">HTA </w:t>
      </w:r>
      <w:r w:rsidR="00C2250D">
        <w:rPr>
          <w:rFonts w:ascii="Arial" w:hAnsi="Arial" w:cs="Arial"/>
          <w:sz w:val="20"/>
          <w:szCs w:val="20"/>
        </w:rPr>
        <w:t>assessments</w:t>
      </w:r>
      <w:r w:rsidRPr="00100E3D">
        <w:rPr>
          <w:rFonts w:ascii="Arial" w:hAnsi="Arial" w:cs="Arial"/>
          <w:sz w:val="20"/>
          <w:szCs w:val="20"/>
        </w:rPr>
        <w:t xml:space="preserve">. The importance of collecting high quality </w:t>
      </w:r>
      <w:r w:rsidR="0096134E">
        <w:rPr>
          <w:rFonts w:ascii="Arial" w:hAnsi="Arial" w:cs="Arial"/>
          <w:sz w:val="20"/>
          <w:szCs w:val="20"/>
        </w:rPr>
        <w:t>patient reported outcomes (</w:t>
      </w:r>
      <w:r w:rsidRPr="00100E3D">
        <w:rPr>
          <w:rFonts w:ascii="Arial" w:hAnsi="Arial" w:cs="Arial"/>
          <w:sz w:val="20"/>
          <w:szCs w:val="20"/>
        </w:rPr>
        <w:t>PROs</w:t>
      </w:r>
      <w:r w:rsidR="0096134E">
        <w:rPr>
          <w:rFonts w:ascii="Arial" w:hAnsi="Arial" w:cs="Arial"/>
          <w:sz w:val="20"/>
          <w:szCs w:val="20"/>
        </w:rPr>
        <w:t>)</w:t>
      </w:r>
      <w:r w:rsidRPr="00100E3D">
        <w:rPr>
          <w:rFonts w:ascii="Arial" w:hAnsi="Arial" w:cs="Arial"/>
          <w:sz w:val="20"/>
          <w:szCs w:val="20"/>
        </w:rPr>
        <w:t xml:space="preserve">, </w:t>
      </w:r>
      <w:r w:rsidR="0096134E">
        <w:rPr>
          <w:rFonts w:ascii="Arial" w:hAnsi="Arial" w:cs="Arial"/>
          <w:sz w:val="20"/>
          <w:szCs w:val="20"/>
        </w:rPr>
        <w:t>quality of life (</w:t>
      </w:r>
      <w:r w:rsidRPr="00100E3D">
        <w:rPr>
          <w:rFonts w:ascii="Arial" w:hAnsi="Arial" w:cs="Arial"/>
          <w:sz w:val="20"/>
          <w:szCs w:val="20"/>
        </w:rPr>
        <w:t>QoL</w:t>
      </w:r>
      <w:r w:rsidR="0096134E">
        <w:rPr>
          <w:rFonts w:ascii="Arial" w:hAnsi="Arial" w:cs="Arial"/>
          <w:sz w:val="20"/>
          <w:szCs w:val="20"/>
        </w:rPr>
        <w:t>)</w:t>
      </w:r>
      <w:r w:rsidRPr="00100E3D">
        <w:rPr>
          <w:rFonts w:ascii="Arial" w:hAnsi="Arial" w:cs="Arial"/>
          <w:sz w:val="20"/>
          <w:szCs w:val="20"/>
        </w:rPr>
        <w:t xml:space="preserve"> measures and functional outcomes </w:t>
      </w:r>
      <w:r w:rsidR="0096134E">
        <w:rPr>
          <w:rFonts w:ascii="Arial" w:hAnsi="Arial" w:cs="Arial"/>
          <w:sz w:val="20"/>
          <w:szCs w:val="20"/>
        </w:rPr>
        <w:t xml:space="preserve">measures </w:t>
      </w:r>
      <w:r w:rsidRPr="00100E3D">
        <w:rPr>
          <w:rFonts w:ascii="Arial" w:hAnsi="Arial" w:cs="Arial"/>
          <w:sz w:val="20"/>
          <w:szCs w:val="20"/>
        </w:rPr>
        <w:t>was emphasised</w:t>
      </w:r>
      <w:r>
        <w:rPr>
          <w:rFonts w:ascii="Arial" w:hAnsi="Arial" w:cs="Arial"/>
          <w:sz w:val="20"/>
          <w:szCs w:val="20"/>
        </w:rPr>
        <w:t xml:space="preserve">; </w:t>
      </w:r>
      <w:r w:rsidRPr="00100E3D">
        <w:rPr>
          <w:rFonts w:ascii="Arial" w:hAnsi="Arial" w:cs="Arial"/>
          <w:sz w:val="20"/>
          <w:szCs w:val="20"/>
        </w:rPr>
        <w:t xml:space="preserve">these are the measures that translate into what determines how a patient will function better. New ways of collecting PROs, such as social media data, were suggested. </w:t>
      </w:r>
      <w:r w:rsidR="00C2250D">
        <w:rPr>
          <w:rFonts w:ascii="Arial" w:hAnsi="Arial" w:cs="Arial"/>
          <w:sz w:val="20"/>
          <w:szCs w:val="20"/>
        </w:rPr>
        <w:t>R</w:t>
      </w:r>
      <w:r w:rsidRPr="00100E3D">
        <w:rPr>
          <w:rFonts w:ascii="Arial" w:hAnsi="Arial" w:cs="Arial"/>
          <w:sz w:val="20"/>
          <w:szCs w:val="20"/>
        </w:rPr>
        <w:t>eal world evidence</w:t>
      </w:r>
      <w:r w:rsidR="00422848">
        <w:rPr>
          <w:rFonts w:ascii="Arial" w:hAnsi="Arial" w:cs="Arial"/>
          <w:sz w:val="20"/>
          <w:szCs w:val="20"/>
        </w:rPr>
        <w:t xml:space="preserve"> (RWE)</w:t>
      </w:r>
      <w:r w:rsidRPr="00100E3D">
        <w:rPr>
          <w:rFonts w:ascii="Arial" w:hAnsi="Arial" w:cs="Arial"/>
          <w:sz w:val="20"/>
          <w:szCs w:val="20"/>
        </w:rPr>
        <w:t xml:space="preserve"> </w:t>
      </w:r>
      <w:r w:rsidR="00C2250D">
        <w:rPr>
          <w:rFonts w:ascii="Arial" w:hAnsi="Arial" w:cs="Arial"/>
          <w:sz w:val="20"/>
          <w:szCs w:val="20"/>
        </w:rPr>
        <w:t xml:space="preserve">is a potentially valuable approach </w:t>
      </w:r>
      <w:r w:rsidRPr="00100E3D">
        <w:rPr>
          <w:rFonts w:ascii="Arial" w:hAnsi="Arial" w:cs="Arial"/>
          <w:sz w:val="20"/>
          <w:szCs w:val="20"/>
        </w:rPr>
        <w:t>for providing evidence relating to the patient experience and QoL.</w:t>
      </w:r>
      <w:r>
        <w:rPr>
          <w:rFonts w:ascii="Arial" w:hAnsi="Arial" w:cs="Arial"/>
          <w:sz w:val="20"/>
          <w:szCs w:val="20"/>
        </w:rPr>
        <w:t xml:space="preserve"> The panel recognized that further work needs to be done to advance relevant patient measures</w:t>
      </w:r>
      <w:r w:rsidR="00C2250D">
        <w:rPr>
          <w:rFonts w:ascii="Arial" w:hAnsi="Arial" w:cs="Arial"/>
          <w:sz w:val="20"/>
          <w:szCs w:val="20"/>
        </w:rPr>
        <w:t xml:space="preserve">, as a </w:t>
      </w:r>
      <w:r w:rsidR="00581FC9">
        <w:rPr>
          <w:rFonts w:ascii="Arial" w:hAnsi="Arial" w:cs="Arial"/>
          <w:sz w:val="20"/>
          <w:szCs w:val="20"/>
        </w:rPr>
        <w:t xml:space="preserve">priority </w:t>
      </w:r>
      <w:r>
        <w:rPr>
          <w:rFonts w:ascii="Arial" w:hAnsi="Arial" w:cs="Arial"/>
          <w:sz w:val="20"/>
          <w:szCs w:val="20"/>
        </w:rPr>
        <w:t xml:space="preserve">area </w:t>
      </w:r>
      <w:r w:rsidR="00C2250D">
        <w:rPr>
          <w:rFonts w:ascii="Arial" w:hAnsi="Arial" w:cs="Arial"/>
          <w:sz w:val="20"/>
          <w:szCs w:val="20"/>
        </w:rPr>
        <w:t>with</w:t>
      </w:r>
      <w:r>
        <w:rPr>
          <w:rFonts w:ascii="Arial" w:hAnsi="Arial" w:cs="Arial"/>
          <w:sz w:val="20"/>
          <w:szCs w:val="20"/>
        </w:rPr>
        <w:t>in HTA cooperation.</w:t>
      </w:r>
    </w:p>
    <w:p w:rsidR="006D31DD" w:rsidRPr="005067C8" w:rsidRDefault="00581FC9" w:rsidP="005067C8">
      <w:pPr>
        <w:pStyle w:val="ListParagraph"/>
        <w:numPr>
          <w:ilvl w:val="0"/>
          <w:numId w:val="5"/>
        </w:numPr>
        <w:rPr>
          <w:rFonts w:ascii="Arial" w:hAnsi="Arial" w:cs="Arial"/>
          <w:b/>
          <w:sz w:val="20"/>
          <w:szCs w:val="20"/>
        </w:rPr>
      </w:pPr>
      <w:r>
        <w:rPr>
          <w:rFonts w:ascii="Arial" w:hAnsi="Arial" w:cs="Arial"/>
          <w:b/>
          <w:i/>
          <w:sz w:val="20"/>
          <w:szCs w:val="20"/>
        </w:rPr>
        <w:t xml:space="preserve">Personalized medicine: </w:t>
      </w:r>
      <w:r w:rsidR="00A37AE2" w:rsidRPr="00A37AE2">
        <w:rPr>
          <w:rFonts w:ascii="Arial" w:hAnsi="Arial" w:cs="Arial"/>
          <w:sz w:val="20"/>
          <w:szCs w:val="20"/>
        </w:rPr>
        <w:t xml:space="preserve">Biomarker and genomic analyses are playing an increasingly strong role in pharmaceutical R&amp;D, leading to the development of new targeted medicines; HTA needs to have the in-built flexibility to support optimal evaluations of these innovative products. The assessment of genomics / biomarker-driven sub-populations, budget impact, willingness to pay, equity and value based pricing are just a few of the challenges faced </w:t>
      </w:r>
      <w:r w:rsidR="00A37AE2">
        <w:rPr>
          <w:rFonts w:ascii="Arial" w:hAnsi="Arial" w:cs="Arial"/>
          <w:sz w:val="20"/>
          <w:szCs w:val="20"/>
        </w:rPr>
        <w:t xml:space="preserve">in this </w:t>
      </w:r>
      <w:r w:rsidR="00A37AE2" w:rsidRPr="00A37AE2">
        <w:rPr>
          <w:rFonts w:ascii="Arial" w:hAnsi="Arial" w:cs="Arial"/>
          <w:sz w:val="20"/>
          <w:szCs w:val="20"/>
        </w:rPr>
        <w:t xml:space="preserve">new era of medicine. </w:t>
      </w:r>
      <w:r w:rsidR="00B80850">
        <w:rPr>
          <w:rFonts w:ascii="Arial" w:hAnsi="Arial" w:cs="Arial"/>
          <w:b/>
          <w:i/>
          <w:sz w:val="20"/>
          <w:szCs w:val="20"/>
        </w:rPr>
        <w:t xml:space="preserve">   </w:t>
      </w:r>
    </w:p>
    <w:p w:rsidR="001A49B1" w:rsidRDefault="00101CE1">
      <w:pPr>
        <w:ind w:left="360"/>
        <w:rPr>
          <w:rFonts w:ascii="Arial" w:hAnsi="Arial" w:cs="Arial"/>
          <w:b/>
          <w:sz w:val="20"/>
          <w:szCs w:val="20"/>
        </w:rPr>
      </w:pPr>
      <w:r w:rsidRPr="00101CE1">
        <w:rPr>
          <w:rFonts w:ascii="Arial" w:hAnsi="Arial" w:cs="Arial"/>
          <w:b/>
          <w:sz w:val="20"/>
          <w:szCs w:val="20"/>
        </w:rPr>
        <w:t>Other Key themes:</w:t>
      </w:r>
    </w:p>
    <w:p w:rsidR="00F07CEC" w:rsidRPr="00F07CEC" w:rsidRDefault="009D1FFE" w:rsidP="00771F98">
      <w:pPr>
        <w:pStyle w:val="ListParagraph"/>
        <w:numPr>
          <w:ilvl w:val="0"/>
          <w:numId w:val="5"/>
        </w:numPr>
        <w:rPr>
          <w:rFonts w:ascii="Arial" w:hAnsi="Arial" w:cs="Arial"/>
          <w:b/>
          <w:i/>
          <w:sz w:val="20"/>
          <w:szCs w:val="20"/>
        </w:rPr>
      </w:pPr>
      <w:r>
        <w:rPr>
          <w:rFonts w:ascii="Arial" w:hAnsi="Arial" w:cs="Arial"/>
          <w:b/>
          <w:i/>
          <w:sz w:val="20"/>
          <w:szCs w:val="20"/>
        </w:rPr>
        <w:t xml:space="preserve">Focus areas for </w:t>
      </w:r>
      <w:r w:rsidR="00A2734F" w:rsidRPr="00100E3D">
        <w:rPr>
          <w:rFonts w:ascii="Arial" w:hAnsi="Arial" w:cs="Arial"/>
          <w:b/>
          <w:i/>
          <w:sz w:val="20"/>
          <w:szCs w:val="20"/>
        </w:rPr>
        <w:t xml:space="preserve">a harmonised system: evaluation vs. implementation: </w:t>
      </w:r>
      <w:r w:rsidR="00A2734F" w:rsidRPr="00100E3D">
        <w:rPr>
          <w:rFonts w:ascii="Arial" w:hAnsi="Arial" w:cs="Arial"/>
          <w:sz w:val="20"/>
          <w:szCs w:val="20"/>
        </w:rPr>
        <w:t xml:space="preserve">There was agreement that not all aspects of HTA and access </w:t>
      </w:r>
      <w:r w:rsidR="00114D3F">
        <w:rPr>
          <w:rFonts w:ascii="Arial" w:hAnsi="Arial" w:cs="Arial"/>
          <w:sz w:val="20"/>
          <w:szCs w:val="20"/>
        </w:rPr>
        <w:t xml:space="preserve">to medicines can or should </w:t>
      </w:r>
      <w:r w:rsidR="00A2734F" w:rsidRPr="00100E3D">
        <w:rPr>
          <w:rFonts w:ascii="Arial" w:hAnsi="Arial" w:cs="Arial"/>
          <w:sz w:val="20"/>
          <w:szCs w:val="20"/>
        </w:rPr>
        <w:t xml:space="preserve">be addressed at a European level. There was strong concurrence that evidence evaluation </w:t>
      </w:r>
      <w:r w:rsidR="00114D3F">
        <w:rPr>
          <w:rFonts w:ascii="Arial" w:hAnsi="Arial" w:cs="Arial"/>
          <w:sz w:val="20"/>
          <w:szCs w:val="20"/>
        </w:rPr>
        <w:t xml:space="preserve">could benefit from being </w:t>
      </w:r>
      <w:r w:rsidR="00A2734F" w:rsidRPr="00100E3D">
        <w:rPr>
          <w:rFonts w:ascii="Arial" w:hAnsi="Arial" w:cs="Arial"/>
          <w:sz w:val="20"/>
          <w:szCs w:val="20"/>
        </w:rPr>
        <w:t>conducted at the European level and a coordinated approach to relative efficacy assessments should continue to be piloted and progress</w:t>
      </w:r>
      <w:r w:rsidR="00114D3F">
        <w:rPr>
          <w:rFonts w:ascii="Arial" w:hAnsi="Arial" w:cs="Arial"/>
          <w:sz w:val="20"/>
          <w:szCs w:val="20"/>
        </w:rPr>
        <w:t>ed</w:t>
      </w:r>
      <w:r w:rsidR="00A2734F" w:rsidRPr="00100E3D">
        <w:rPr>
          <w:rFonts w:ascii="Arial" w:hAnsi="Arial" w:cs="Arial"/>
          <w:sz w:val="20"/>
          <w:szCs w:val="20"/>
        </w:rPr>
        <w:t xml:space="preserve">. However, due to inherent differences in medical practice, healthcare systems and country economics, it was deemed that </w:t>
      </w:r>
      <w:r w:rsidR="00114D3F">
        <w:rPr>
          <w:rFonts w:ascii="Arial" w:hAnsi="Arial" w:cs="Arial"/>
          <w:sz w:val="20"/>
          <w:szCs w:val="20"/>
        </w:rPr>
        <w:t xml:space="preserve">certain </w:t>
      </w:r>
      <w:r w:rsidR="00A2734F" w:rsidRPr="00100E3D">
        <w:rPr>
          <w:rFonts w:ascii="Arial" w:hAnsi="Arial" w:cs="Arial"/>
          <w:sz w:val="20"/>
          <w:szCs w:val="20"/>
        </w:rPr>
        <w:t xml:space="preserve">aspects such as cost effectiveness and implementation should </w:t>
      </w:r>
      <w:r w:rsidR="00114D3F">
        <w:rPr>
          <w:rFonts w:ascii="Arial" w:hAnsi="Arial" w:cs="Arial"/>
          <w:sz w:val="20"/>
          <w:szCs w:val="20"/>
        </w:rPr>
        <w:t xml:space="preserve">be determined at a country </w:t>
      </w:r>
      <w:r w:rsidR="00A2734F" w:rsidRPr="00100E3D">
        <w:rPr>
          <w:rFonts w:ascii="Arial" w:hAnsi="Arial" w:cs="Arial"/>
          <w:sz w:val="20"/>
          <w:szCs w:val="20"/>
        </w:rPr>
        <w:t>level.</w:t>
      </w:r>
    </w:p>
    <w:p w:rsidR="00F07CEC" w:rsidRPr="00F07CEC" w:rsidRDefault="002268A8" w:rsidP="00F07CEC">
      <w:pPr>
        <w:pStyle w:val="ListParagraph"/>
        <w:rPr>
          <w:rFonts w:ascii="Arial" w:hAnsi="Arial" w:cs="Arial"/>
          <w:b/>
          <w:i/>
          <w:sz w:val="20"/>
          <w:szCs w:val="20"/>
        </w:rPr>
      </w:pPr>
      <w:r>
        <w:rPr>
          <w:noProof/>
          <w:lang w:eastAsia="en-GB"/>
        </w:rPr>
        <w:pict>
          <v:line id="_x0000_s1026" style="position:absolute;left:0;text-align:left;flip:y;z-index:251666432" from="-19.35pt,16.65pt" to="476.2pt,16.65pt" strokecolor="#0092cf" strokeweight=".25pt"/>
        </w:pict>
      </w:r>
    </w:p>
    <w:p w:rsidR="005D1DBC" w:rsidRPr="00A37AE2" w:rsidRDefault="00F07CEC" w:rsidP="00F07CEC">
      <w:pPr>
        <w:rPr>
          <w:rFonts w:ascii="Arial" w:hAnsi="Arial" w:cs="Arial"/>
          <w:b/>
          <w:i/>
          <w:sz w:val="18"/>
          <w:szCs w:val="20"/>
        </w:rPr>
      </w:pPr>
      <w:r w:rsidRPr="00A37AE2">
        <w:rPr>
          <w:rFonts w:ascii="Arial" w:hAnsi="Arial" w:cs="Arial"/>
          <w:b/>
          <w:i/>
          <w:noProof/>
          <w:color w:val="00B0F0"/>
          <w:sz w:val="16"/>
          <w:szCs w:val="20"/>
          <w:lang w:eastAsia="en-GB"/>
        </w:rPr>
        <w:drawing>
          <wp:anchor distT="0" distB="0" distL="114300" distR="114300" simplePos="0" relativeHeight="251664384" behindDoc="0" locked="0" layoutInCell="1" allowOverlap="1">
            <wp:simplePos x="0" y="0"/>
            <wp:positionH relativeFrom="margin">
              <wp:posOffset>-22225</wp:posOffset>
            </wp:positionH>
            <wp:positionV relativeFrom="margin">
              <wp:posOffset>8311515</wp:posOffset>
            </wp:positionV>
            <wp:extent cx="1631315" cy="900430"/>
            <wp:effectExtent l="19050" t="0" r="6985" b="0"/>
            <wp:wrapSquare wrapText="bothSides"/>
            <wp:docPr id="8" name="Picture 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8" cstate="print"/>
                    <a:srcRect r="66217" b="20312"/>
                    <a:stretch>
                      <a:fillRect/>
                    </a:stretch>
                  </pic:blipFill>
                  <pic:spPr bwMode="auto">
                    <a:xfrm>
                      <a:off x="0" y="0"/>
                      <a:ext cx="1631315" cy="900430"/>
                    </a:xfrm>
                    <a:prstGeom prst="rect">
                      <a:avLst/>
                    </a:prstGeom>
                    <a:noFill/>
                    <a:ln w="9525">
                      <a:noFill/>
                      <a:miter lim="800000"/>
                      <a:headEnd/>
                      <a:tailEnd/>
                    </a:ln>
                  </pic:spPr>
                </pic:pic>
              </a:graphicData>
            </a:graphic>
          </wp:anchor>
        </w:drawing>
      </w:r>
      <w:r w:rsidRPr="00A37AE2">
        <w:rPr>
          <w:rFonts w:ascii="Arial" w:hAnsi="Arial" w:cs="Arial"/>
          <w:b/>
          <w:i/>
          <w:noProof/>
          <w:color w:val="00B0F0"/>
          <w:sz w:val="16"/>
          <w:szCs w:val="20"/>
          <w:lang w:eastAsia="en-GB"/>
        </w:rPr>
        <w:drawing>
          <wp:anchor distT="0" distB="0" distL="114300" distR="114300" simplePos="0" relativeHeight="251665408" behindDoc="0" locked="0" layoutInCell="1" allowOverlap="1">
            <wp:simplePos x="0" y="0"/>
            <wp:positionH relativeFrom="margin">
              <wp:posOffset>2025015</wp:posOffset>
            </wp:positionH>
            <wp:positionV relativeFrom="margin">
              <wp:posOffset>8311515</wp:posOffset>
            </wp:positionV>
            <wp:extent cx="3730625" cy="900430"/>
            <wp:effectExtent l="19050" t="0" r="3175" b="0"/>
            <wp:wrapSquare wrapText="bothSides"/>
            <wp:docPr id="7" name="Picture 2" descr="IMG_0650.JPG"/>
            <wp:cNvGraphicFramePr/>
            <a:graphic xmlns:a="http://schemas.openxmlformats.org/drawingml/2006/main">
              <a:graphicData uri="http://schemas.openxmlformats.org/drawingml/2006/picture">
                <pic:pic xmlns:pic="http://schemas.openxmlformats.org/drawingml/2006/picture">
                  <pic:nvPicPr>
                    <pic:cNvPr id="10" name="Picture 9" descr="IMG_0650.JPG"/>
                    <pic:cNvPicPr>
                      <a:picLocks noChangeAspect="1"/>
                    </pic:cNvPicPr>
                  </pic:nvPicPr>
                  <pic:blipFill>
                    <a:blip r:embed="rId9" cstate="print"/>
                    <a:srcRect t="38549" b="22331"/>
                    <a:stretch>
                      <a:fillRect/>
                    </a:stretch>
                  </pic:blipFill>
                  <pic:spPr>
                    <a:xfrm>
                      <a:off x="0" y="0"/>
                      <a:ext cx="3730625" cy="900430"/>
                    </a:xfrm>
                    <a:prstGeom prst="rect">
                      <a:avLst/>
                    </a:prstGeom>
                  </pic:spPr>
                </pic:pic>
              </a:graphicData>
            </a:graphic>
          </wp:anchor>
        </w:drawing>
      </w:r>
      <w:r w:rsidR="005D1DBC" w:rsidRPr="00A37AE2">
        <w:rPr>
          <w:rFonts w:ascii="Arial" w:hAnsi="Arial" w:cs="Arial"/>
          <w:b/>
          <w:i/>
          <w:color w:val="00B0F0"/>
          <w:sz w:val="16"/>
          <w:szCs w:val="20"/>
        </w:rPr>
        <w:t xml:space="preserve">Issues Panel Session: </w:t>
      </w:r>
      <w:r w:rsidR="005D1DBC" w:rsidRPr="00A37AE2">
        <w:rPr>
          <w:rFonts w:ascii="Arial" w:hAnsi="Arial" w:cs="Arial"/>
          <w:b/>
          <w:i/>
          <w:sz w:val="16"/>
          <w:szCs w:val="20"/>
        </w:rPr>
        <w:t xml:space="preserve">Issue Panel Session Speakers at the ISPOR 18th Annual European Congress: </w:t>
      </w:r>
      <w:r w:rsidR="005D1DBC" w:rsidRPr="00A37AE2">
        <w:rPr>
          <w:rFonts w:ascii="Arial" w:hAnsi="Arial" w:cs="Arial"/>
          <w:i/>
          <w:sz w:val="16"/>
          <w:szCs w:val="20"/>
        </w:rPr>
        <w:t>(l-r) Wim Goettsch, Andrea Rappagliosi, Alastair Kent, Jacco Keja</w:t>
      </w:r>
    </w:p>
    <w:p w:rsidR="005067C8" w:rsidRPr="005067C8" w:rsidRDefault="005067C8" w:rsidP="00B513F6">
      <w:pPr>
        <w:pStyle w:val="ListParagraph"/>
        <w:numPr>
          <w:ilvl w:val="0"/>
          <w:numId w:val="17"/>
        </w:numPr>
        <w:ind w:left="709" w:hanging="283"/>
        <w:rPr>
          <w:rFonts w:ascii="Arial" w:hAnsi="Arial" w:cs="Arial"/>
          <w:b/>
          <w:sz w:val="20"/>
          <w:szCs w:val="20"/>
        </w:rPr>
      </w:pPr>
      <w:r w:rsidRPr="00F07CEC">
        <w:rPr>
          <w:rFonts w:ascii="Arial" w:hAnsi="Arial" w:cs="Arial"/>
          <w:b/>
          <w:i/>
          <w:sz w:val="20"/>
          <w:szCs w:val="20"/>
        </w:rPr>
        <w:lastRenderedPageBreak/>
        <w:t xml:space="preserve">Benefits of cooperation for challenging </w:t>
      </w:r>
      <w:r w:rsidR="003A4B40">
        <w:rPr>
          <w:rFonts w:ascii="Arial" w:hAnsi="Arial" w:cs="Arial"/>
          <w:b/>
          <w:i/>
          <w:sz w:val="20"/>
          <w:szCs w:val="20"/>
        </w:rPr>
        <w:t>measures</w:t>
      </w:r>
      <w:r w:rsidRPr="00F07CEC">
        <w:rPr>
          <w:rFonts w:ascii="Arial" w:hAnsi="Arial" w:cs="Arial"/>
          <w:b/>
          <w:i/>
          <w:sz w:val="20"/>
          <w:szCs w:val="20"/>
        </w:rPr>
        <w:t xml:space="preserve">, such as evaluation of clinical endpoints &amp; sub-populations: </w:t>
      </w:r>
      <w:r w:rsidRPr="00F07CEC">
        <w:rPr>
          <w:rFonts w:ascii="Arial" w:hAnsi="Arial" w:cs="Arial"/>
          <w:sz w:val="20"/>
          <w:szCs w:val="20"/>
        </w:rPr>
        <w:t>Certain components of assessments that are more susceptible to interpretation, such as surrogate endpoints, tend to be interpreted differently by each HTA agency. This suggests that these components may not be well understood, and could benefit from discussion and alignment among HTA agencies. Furthermore,</w:t>
      </w:r>
      <w:r w:rsidRPr="00F07CEC">
        <w:rPr>
          <w:rFonts w:ascii="Arial" w:hAnsi="Arial" w:cs="Arial"/>
          <w:b/>
          <w:i/>
          <w:sz w:val="20"/>
          <w:szCs w:val="20"/>
        </w:rPr>
        <w:t xml:space="preserve"> </w:t>
      </w:r>
      <w:r w:rsidRPr="00F07CEC">
        <w:rPr>
          <w:rFonts w:ascii="Arial" w:hAnsi="Arial" w:cs="Arial"/>
          <w:sz w:val="20"/>
          <w:szCs w:val="20"/>
        </w:rPr>
        <w:t>differences exist between countries in the value and weight placed on softer clinical endpoints and the inclusion of sub-group analysis leading to differences in evaluation</w:t>
      </w:r>
      <w:r w:rsidR="003A4B40">
        <w:rPr>
          <w:rFonts w:ascii="Arial" w:hAnsi="Arial" w:cs="Arial"/>
          <w:sz w:val="20"/>
          <w:szCs w:val="20"/>
        </w:rPr>
        <w:t xml:space="preserve"> of medicines</w:t>
      </w:r>
      <w:r w:rsidRPr="00F07CEC">
        <w:rPr>
          <w:rFonts w:ascii="Arial" w:hAnsi="Arial" w:cs="Arial"/>
          <w:sz w:val="20"/>
          <w:szCs w:val="20"/>
        </w:rPr>
        <w:t xml:space="preserve">. </w:t>
      </w:r>
    </w:p>
    <w:p w:rsidR="003A4B40" w:rsidRDefault="003A4B40" w:rsidP="008475AE">
      <w:pPr>
        <w:spacing w:after="0" w:line="240" w:lineRule="auto"/>
        <w:rPr>
          <w:rFonts w:ascii="Arial" w:hAnsi="Arial" w:cs="Arial"/>
          <w:sz w:val="20"/>
          <w:szCs w:val="20"/>
        </w:rPr>
      </w:pPr>
      <w:r w:rsidRPr="003A4B40">
        <w:rPr>
          <w:rFonts w:ascii="Arial" w:hAnsi="Arial" w:cs="Arial"/>
          <w:sz w:val="20"/>
          <w:szCs w:val="20"/>
        </w:rPr>
        <w:t>Further</w:t>
      </w:r>
      <w:r w:rsidR="0061555A">
        <w:rPr>
          <w:rFonts w:ascii="Arial" w:hAnsi="Arial" w:cs="Arial"/>
          <w:sz w:val="20"/>
          <w:szCs w:val="20"/>
        </w:rPr>
        <w:t>, in the discussion, several topics emerged where there was alignment among the panellists, areas where further work was needed to address spec</w:t>
      </w:r>
      <w:r w:rsidR="0061555A" w:rsidRPr="00567784">
        <w:rPr>
          <w:rFonts w:ascii="Arial" w:hAnsi="Arial" w:cs="Arial"/>
          <w:sz w:val="20"/>
          <w:szCs w:val="20"/>
        </w:rPr>
        <w:t xml:space="preserve">ific issues, and potential topics that were expected to pose challenges for achieving cooperation in HTA and </w:t>
      </w:r>
      <w:r w:rsidR="009659D2" w:rsidRPr="00567784">
        <w:rPr>
          <w:rFonts w:ascii="Arial" w:hAnsi="Arial" w:cs="Arial"/>
          <w:sz w:val="20"/>
          <w:szCs w:val="20"/>
        </w:rPr>
        <w:t>relative efficacy assessments (</w:t>
      </w:r>
      <w:r w:rsidR="0061555A" w:rsidRPr="00567784">
        <w:rPr>
          <w:rFonts w:ascii="Arial" w:hAnsi="Arial" w:cs="Arial"/>
          <w:sz w:val="20"/>
          <w:szCs w:val="20"/>
        </w:rPr>
        <w:t>REA</w:t>
      </w:r>
      <w:r w:rsidR="009659D2" w:rsidRPr="00567784">
        <w:rPr>
          <w:rFonts w:ascii="Arial" w:hAnsi="Arial" w:cs="Arial"/>
          <w:sz w:val="20"/>
          <w:szCs w:val="20"/>
        </w:rPr>
        <w:t>)</w:t>
      </w:r>
      <w:r w:rsidR="0061555A" w:rsidRPr="00567784">
        <w:rPr>
          <w:rFonts w:ascii="Arial" w:hAnsi="Arial" w:cs="Arial"/>
          <w:sz w:val="20"/>
          <w:szCs w:val="20"/>
        </w:rPr>
        <w:t>.</w:t>
      </w:r>
    </w:p>
    <w:p w:rsidR="009659D2" w:rsidRPr="003A4B40" w:rsidRDefault="009659D2" w:rsidP="008475AE">
      <w:pPr>
        <w:spacing w:after="0" w:line="240" w:lineRule="auto"/>
        <w:rPr>
          <w:rFonts w:ascii="Arial" w:hAnsi="Arial" w:cs="Arial"/>
          <w:sz w:val="20"/>
          <w:szCs w:val="20"/>
        </w:rPr>
      </w:pPr>
    </w:p>
    <w:p w:rsidR="008475AE" w:rsidRPr="00771F98" w:rsidRDefault="00A2480C" w:rsidP="008475AE">
      <w:pPr>
        <w:spacing w:after="0" w:line="240" w:lineRule="auto"/>
        <w:rPr>
          <w:rFonts w:ascii="Arial" w:hAnsi="Arial" w:cs="Arial"/>
          <w:b/>
          <w:sz w:val="20"/>
          <w:szCs w:val="20"/>
        </w:rPr>
      </w:pPr>
      <w:r w:rsidRPr="00771F98">
        <w:rPr>
          <w:rFonts w:ascii="Arial" w:hAnsi="Arial" w:cs="Arial"/>
          <w:b/>
          <w:sz w:val="20"/>
          <w:szCs w:val="20"/>
        </w:rPr>
        <w:t>Areas of alignment</w:t>
      </w:r>
    </w:p>
    <w:p w:rsidR="0061555A" w:rsidRPr="0061555A" w:rsidRDefault="00861867" w:rsidP="0061555A">
      <w:pPr>
        <w:pStyle w:val="ListParagraph"/>
        <w:numPr>
          <w:ilvl w:val="0"/>
          <w:numId w:val="16"/>
        </w:numPr>
        <w:spacing w:after="0" w:line="240" w:lineRule="auto"/>
        <w:ind w:left="709" w:hanging="425"/>
        <w:rPr>
          <w:rFonts w:ascii="Arial" w:hAnsi="Arial" w:cs="Arial"/>
          <w:sz w:val="20"/>
          <w:szCs w:val="20"/>
        </w:rPr>
      </w:pPr>
      <w:r w:rsidRPr="00771F98">
        <w:rPr>
          <w:rFonts w:ascii="Arial" w:hAnsi="Arial" w:cs="Arial"/>
          <w:sz w:val="20"/>
          <w:szCs w:val="20"/>
        </w:rPr>
        <w:t>Existence of patient access inequities</w:t>
      </w:r>
      <w:r w:rsidR="0061555A">
        <w:rPr>
          <w:rFonts w:ascii="Arial" w:hAnsi="Arial" w:cs="Arial"/>
          <w:sz w:val="20"/>
          <w:szCs w:val="20"/>
        </w:rPr>
        <w:t>, in part</w:t>
      </w:r>
      <w:r w:rsidRPr="00771F98">
        <w:rPr>
          <w:rFonts w:ascii="Arial" w:hAnsi="Arial" w:cs="Arial"/>
          <w:sz w:val="20"/>
          <w:szCs w:val="20"/>
        </w:rPr>
        <w:t xml:space="preserve"> as a result of heterogeneity and inconsistencies in HTA assessments in different countries</w:t>
      </w:r>
      <w:r w:rsidR="0061555A">
        <w:rPr>
          <w:rFonts w:ascii="Arial" w:hAnsi="Arial" w:cs="Arial"/>
          <w:sz w:val="20"/>
          <w:szCs w:val="20"/>
        </w:rPr>
        <w:t>; i</w:t>
      </w:r>
      <w:r w:rsidR="0061555A" w:rsidRPr="0061555A">
        <w:rPr>
          <w:rFonts w:ascii="Arial" w:hAnsi="Arial" w:cs="Arial"/>
          <w:sz w:val="20"/>
          <w:szCs w:val="20"/>
        </w:rPr>
        <w:t>mportance of the patient view for HTA, which is not optimally incorporated today</w:t>
      </w:r>
    </w:p>
    <w:p w:rsidR="00861867" w:rsidRPr="0061555A" w:rsidRDefault="00771F98" w:rsidP="0061555A">
      <w:pPr>
        <w:pStyle w:val="ListParagraph"/>
        <w:numPr>
          <w:ilvl w:val="0"/>
          <w:numId w:val="16"/>
        </w:numPr>
        <w:spacing w:after="0" w:line="240" w:lineRule="auto"/>
        <w:ind w:left="709" w:hanging="425"/>
        <w:rPr>
          <w:rFonts w:ascii="Arial" w:hAnsi="Arial" w:cs="Arial"/>
          <w:sz w:val="20"/>
          <w:szCs w:val="20"/>
        </w:rPr>
      </w:pPr>
      <w:r w:rsidRPr="00771F98">
        <w:rPr>
          <w:rFonts w:ascii="Arial" w:hAnsi="Arial" w:cs="Arial"/>
          <w:sz w:val="20"/>
          <w:szCs w:val="20"/>
        </w:rPr>
        <w:t xml:space="preserve">Perceived </w:t>
      </w:r>
      <w:r w:rsidR="00861867" w:rsidRPr="00771F98">
        <w:rPr>
          <w:rFonts w:ascii="Arial" w:hAnsi="Arial" w:cs="Arial"/>
          <w:sz w:val="20"/>
          <w:szCs w:val="20"/>
        </w:rPr>
        <w:t xml:space="preserve">benefit of </w:t>
      </w:r>
      <w:r w:rsidR="00A2480C" w:rsidRPr="00771F98">
        <w:rPr>
          <w:rFonts w:ascii="Arial" w:hAnsi="Arial" w:cs="Arial"/>
          <w:sz w:val="20"/>
          <w:szCs w:val="20"/>
        </w:rPr>
        <w:t xml:space="preserve">European </w:t>
      </w:r>
      <w:r w:rsidR="0061555A">
        <w:rPr>
          <w:rFonts w:ascii="Arial" w:hAnsi="Arial" w:cs="Arial"/>
          <w:sz w:val="20"/>
          <w:szCs w:val="20"/>
        </w:rPr>
        <w:t xml:space="preserve">REA </w:t>
      </w:r>
      <w:r w:rsidR="00861867" w:rsidRPr="00771F98">
        <w:rPr>
          <w:rFonts w:ascii="Arial" w:hAnsi="Arial" w:cs="Arial"/>
          <w:sz w:val="20"/>
          <w:szCs w:val="20"/>
        </w:rPr>
        <w:t>as an approach t</w:t>
      </w:r>
      <w:r w:rsidR="00861867" w:rsidRPr="00B513F6">
        <w:rPr>
          <w:rFonts w:ascii="Arial" w:hAnsi="Arial" w:cs="Arial"/>
          <w:sz w:val="20"/>
          <w:szCs w:val="20"/>
        </w:rPr>
        <w:t>o</w:t>
      </w:r>
      <w:r w:rsidR="00861867" w:rsidRPr="00771F98">
        <w:rPr>
          <w:rFonts w:ascii="Arial" w:hAnsi="Arial" w:cs="Arial"/>
          <w:sz w:val="20"/>
          <w:szCs w:val="20"/>
        </w:rPr>
        <w:t xml:space="preserve"> address challenges of divergence</w:t>
      </w:r>
      <w:r w:rsidR="0061555A">
        <w:rPr>
          <w:rFonts w:ascii="Arial" w:hAnsi="Arial" w:cs="Arial"/>
          <w:sz w:val="20"/>
          <w:szCs w:val="20"/>
        </w:rPr>
        <w:t xml:space="preserve">; </w:t>
      </w:r>
      <w:r w:rsidR="0061555A" w:rsidRPr="0061555A">
        <w:rPr>
          <w:rFonts w:ascii="Arial" w:hAnsi="Arial" w:cs="Arial"/>
          <w:sz w:val="20"/>
          <w:szCs w:val="20"/>
        </w:rPr>
        <w:t>c</w:t>
      </w:r>
      <w:r w:rsidR="00861867" w:rsidRPr="0061555A">
        <w:rPr>
          <w:rFonts w:ascii="Arial" w:hAnsi="Arial" w:cs="Arial"/>
          <w:sz w:val="20"/>
          <w:szCs w:val="20"/>
        </w:rPr>
        <w:t xml:space="preserve">ooperation </w:t>
      </w:r>
      <w:r w:rsidR="0061555A">
        <w:rPr>
          <w:rFonts w:ascii="Arial" w:hAnsi="Arial" w:cs="Arial"/>
          <w:sz w:val="20"/>
          <w:szCs w:val="20"/>
        </w:rPr>
        <w:t xml:space="preserve">could </w:t>
      </w:r>
      <w:r w:rsidR="00861867" w:rsidRPr="0061555A">
        <w:rPr>
          <w:rFonts w:ascii="Arial" w:hAnsi="Arial" w:cs="Arial"/>
          <w:sz w:val="20"/>
          <w:szCs w:val="20"/>
        </w:rPr>
        <w:t>reduce duplication in HTA assessments, not only creat</w:t>
      </w:r>
      <w:r w:rsidR="0061555A" w:rsidRPr="0061555A">
        <w:rPr>
          <w:rFonts w:ascii="Arial" w:hAnsi="Arial" w:cs="Arial"/>
          <w:sz w:val="20"/>
          <w:szCs w:val="20"/>
        </w:rPr>
        <w:t>ing</w:t>
      </w:r>
      <w:r w:rsidR="00861867" w:rsidRPr="0061555A">
        <w:rPr>
          <w:rFonts w:ascii="Arial" w:hAnsi="Arial" w:cs="Arial"/>
          <w:sz w:val="20"/>
          <w:szCs w:val="20"/>
        </w:rPr>
        <w:t xml:space="preserve"> consistencies, but also efficiencies for Member States </w:t>
      </w:r>
    </w:p>
    <w:p w:rsidR="00A2480C" w:rsidRPr="00557808" w:rsidRDefault="00861867" w:rsidP="00A2480C">
      <w:pPr>
        <w:pStyle w:val="ListParagraph"/>
        <w:numPr>
          <w:ilvl w:val="0"/>
          <w:numId w:val="16"/>
        </w:numPr>
        <w:spacing w:after="0" w:line="240" w:lineRule="auto"/>
        <w:ind w:left="709" w:hanging="425"/>
        <w:rPr>
          <w:rFonts w:ascii="Arial" w:hAnsi="Arial" w:cs="Arial"/>
          <w:sz w:val="20"/>
          <w:szCs w:val="20"/>
        </w:rPr>
      </w:pPr>
      <w:r w:rsidRPr="00557808">
        <w:rPr>
          <w:rFonts w:ascii="Arial" w:hAnsi="Arial" w:cs="Arial"/>
          <w:sz w:val="20"/>
          <w:szCs w:val="20"/>
        </w:rPr>
        <w:t xml:space="preserve">Recognition that </w:t>
      </w:r>
      <w:r w:rsidR="002259E3" w:rsidRPr="00557808">
        <w:rPr>
          <w:rFonts w:ascii="Arial" w:hAnsi="Arial" w:cs="Arial"/>
          <w:sz w:val="20"/>
          <w:szCs w:val="20"/>
        </w:rPr>
        <w:t xml:space="preserve">some </w:t>
      </w:r>
      <w:r w:rsidRPr="00557808">
        <w:rPr>
          <w:rFonts w:ascii="Arial" w:hAnsi="Arial" w:cs="Arial"/>
          <w:sz w:val="20"/>
          <w:szCs w:val="20"/>
        </w:rPr>
        <w:t xml:space="preserve">elements should continue to be assessed at the country or local level </w:t>
      </w:r>
      <w:r w:rsidR="002259E3" w:rsidRPr="00557808">
        <w:rPr>
          <w:rFonts w:ascii="Arial" w:hAnsi="Arial" w:cs="Arial"/>
          <w:sz w:val="20"/>
          <w:szCs w:val="20"/>
        </w:rPr>
        <w:t>due to inherent differences between European countries</w:t>
      </w:r>
      <w:r w:rsidR="00422848" w:rsidRPr="00557808">
        <w:rPr>
          <w:rFonts w:ascii="Arial" w:hAnsi="Arial" w:cs="Arial"/>
          <w:sz w:val="20"/>
          <w:szCs w:val="20"/>
        </w:rPr>
        <w:t xml:space="preserve"> or regions</w:t>
      </w:r>
    </w:p>
    <w:p w:rsidR="00A2480C" w:rsidRPr="00557808" w:rsidRDefault="00861867" w:rsidP="00A2480C">
      <w:pPr>
        <w:pStyle w:val="ListParagraph"/>
        <w:numPr>
          <w:ilvl w:val="0"/>
          <w:numId w:val="16"/>
        </w:numPr>
        <w:spacing w:after="0" w:line="240" w:lineRule="auto"/>
        <w:ind w:left="709" w:hanging="425"/>
        <w:rPr>
          <w:rFonts w:ascii="Arial" w:hAnsi="Arial" w:cs="Arial"/>
          <w:sz w:val="20"/>
          <w:szCs w:val="20"/>
        </w:rPr>
      </w:pPr>
      <w:r w:rsidRPr="00557808">
        <w:rPr>
          <w:rFonts w:ascii="Arial" w:hAnsi="Arial" w:cs="Arial"/>
          <w:sz w:val="20"/>
          <w:szCs w:val="20"/>
        </w:rPr>
        <w:t xml:space="preserve">Increased </w:t>
      </w:r>
      <w:r w:rsidR="00A2480C" w:rsidRPr="00557808">
        <w:rPr>
          <w:rFonts w:ascii="Arial" w:hAnsi="Arial" w:cs="Arial"/>
          <w:sz w:val="20"/>
          <w:szCs w:val="20"/>
        </w:rPr>
        <w:t>trust between Member States, Industry and HTA agencies</w:t>
      </w:r>
      <w:r w:rsidRPr="00557808">
        <w:rPr>
          <w:rFonts w:ascii="Arial" w:hAnsi="Arial" w:cs="Arial"/>
          <w:sz w:val="20"/>
          <w:szCs w:val="20"/>
        </w:rPr>
        <w:t xml:space="preserve"> </w:t>
      </w:r>
      <w:r w:rsidR="0061555A" w:rsidRPr="00557808">
        <w:rPr>
          <w:rFonts w:ascii="Arial" w:hAnsi="Arial" w:cs="Arial"/>
          <w:sz w:val="20"/>
          <w:szCs w:val="20"/>
        </w:rPr>
        <w:t xml:space="preserve">as </w:t>
      </w:r>
      <w:r w:rsidR="00422848" w:rsidRPr="00557808">
        <w:rPr>
          <w:rFonts w:ascii="Arial" w:hAnsi="Arial" w:cs="Arial"/>
          <w:sz w:val="20"/>
          <w:szCs w:val="20"/>
        </w:rPr>
        <w:t xml:space="preserve">being </w:t>
      </w:r>
      <w:r w:rsidRPr="00557808">
        <w:rPr>
          <w:rFonts w:ascii="Arial" w:hAnsi="Arial" w:cs="Arial"/>
          <w:sz w:val="20"/>
          <w:szCs w:val="20"/>
        </w:rPr>
        <w:t xml:space="preserve">critical in achieving greater cooperation and alignment </w:t>
      </w:r>
    </w:p>
    <w:p w:rsidR="00B6468E" w:rsidRPr="00557808" w:rsidRDefault="00B6468E" w:rsidP="00A2480C">
      <w:pPr>
        <w:pStyle w:val="ListParagraph"/>
        <w:numPr>
          <w:ilvl w:val="0"/>
          <w:numId w:val="16"/>
        </w:numPr>
        <w:spacing w:after="0" w:line="240" w:lineRule="auto"/>
        <w:ind w:left="709" w:hanging="425"/>
        <w:rPr>
          <w:rFonts w:ascii="Arial" w:hAnsi="Arial" w:cs="Arial"/>
          <w:sz w:val="20"/>
          <w:szCs w:val="20"/>
        </w:rPr>
      </w:pPr>
      <w:r w:rsidRPr="00557808">
        <w:rPr>
          <w:rFonts w:ascii="Arial" w:hAnsi="Arial" w:cs="Arial"/>
          <w:sz w:val="20"/>
          <w:szCs w:val="20"/>
        </w:rPr>
        <w:t xml:space="preserve">Timeliness of reports </w:t>
      </w:r>
      <w:r w:rsidR="0061555A" w:rsidRPr="00557808">
        <w:rPr>
          <w:rFonts w:ascii="Arial" w:hAnsi="Arial" w:cs="Arial"/>
          <w:sz w:val="20"/>
          <w:szCs w:val="20"/>
        </w:rPr>
        <w:t xml:space="preserve">as </w:t>
      </w:r>
      <w:r w:rsidR="00422848" w:rsidRPr="00557808">
        <w:rPr>
          <w:rFonts w:ascii="Arial" w:hAnsi="Arial" w:cs="Arial"/>
          <w:sz w:val="20"/>
          <w:szCs w:val="20"/>
        </w:rPr>
        <w:t xml:space="preserve">being </w:t>
      </w:r>
      <w:r w:rsidRPr="00557808">
        <w:rPr>
          <w:rFonts w:ascii="Arial" w:hAnsi="Arial" w:cs="Arial"/>
          <w:sz w:val="20"/>
          <w:szCs w:val="20"/>
        </w:rPr>
        <w:t>critical to enable re-use by agencies and to avoid creating a further barrier for timely patient access</w:t>
      </w:r>
    </w:p>
    <w:p w:rsidR="00A2480C" w:rsidRPr="00100E3D" w:rsidRDefault="00A2480C" w:rsidP="00A2480C">
      <w:pPr>
        <w:spacing w:after="0" w:line="240" w:lineRule="auto"/>
        <w:rPr>
          <w:rFonts w:ascii="Arial" w:hAnsi="Arial" w:cs="Arial"/>
          <w:sz w:val="20"/>
          <w:szCs w:val="20"/>
        </w:rPr>
      </w:pPr>
    </w:p>
    <w:p w:rsidR="00A2480C" w:rsidRPr="00100E3D" w:rsidRDefault="00A2480C" w:rsidP="00A2480C">
      <w:pPr>
        <w:spacing w:after="0" w:line="240" w:lineRule="auto"/>
        <w:rPr>
          <w:rFonts w:ascii="Arial" w:hAnsi="Arial" w:cs="Arial"/>
          <w:b/>
          <w:sz w:val="20"/>
          <w:szCs w:val="20"/>
        </w:rPr>
      </w:pPr>
      <w:r w:rsidRPr="00100E3D">
        <w:rPr>
          <w:rFonts w:ascii="Arial" w:hAnsi="Arial" w:cs="Arial"/>
          <w:b/>
          <w:sz w:val="20"/>
          <w:szCs w:val="20"/>
        </w:rPr>
        <w:t xml:space="preserve">Areas </w:t>
      </w:r>
      <w:r w:rsidR="00861867">
        <w:rPr>
          <w:rFonts w:ascii="Arial" w:hAnsi="Arial" w:cs="Arial"/>
          <w:b/>
          <w:sz w:val="20"/>
          <w:szCs w:val="20"/>
        </w:rPr>
        <w:t>requiring further evaluation</w:t>
      </w:r>
    </w:p>
    <w:p w:rsidR="002259E3" w:rsidRPr="00100E3D" w:rsidRDefault="002259E3" w:rsidP="002259E3">
      <w:pPr>
        <w:pStyle w:val="ListParagraph"/>
        <w:numPr>
          <w:ilvl w:val="0"/>
          <w:numId w:val="16"/>
        </w:numPr>
        <w:spacing w:after="0" w:line="240" w:lineRule="auto"/>
        <w:ind w:left="709" w:hanging="425"/>
        <w:rPr>
          <w:rFonts w:ascii="Arial" w:hAnsi="Arial" w:cs="Arial"/>
          <w:sz w:val="20"/>
          <w:szCs w:val="20"/>
        </w:rPr>
      </w:pPr>
      <w:r w:rsidRPr="00100E3D">
        <w:rPr>
          <w:rFonts w:ascii="Arial" w:hAnsi="Arial" w:cs="Arial"/>
          <w:sz w:val="20"/>
          <w:szCs w:val="20"/>
        </w:rPr>
        <w:t xml:space="preserve">How to improve the quality of </w:t>
      </w:r>
      <w:r w:rsidR="00A37AE2">
        <w:rPr>
          <w:rFonts w:ascii="Arial" w:hAnsi="Arial" w:cs="Arial"/>
          <w:sz w:val="20"/>
          <w:szCs w:val="20"/>
        </w:rPr>
        <w:t xml:space="preserve">PROs </w:t>
      </w:r>
      <w:r w:rsidRPr="00100E3D">
        <w:rPr>
          <w:rFonts w:ascii="Arial" w:hAnsi="Arial" w:cs="Arial"/>
          <w:sz w:val="20"/>
          <w:szCs w:val="20"/>
        </w:rPr>
        <w:t xml:space="preserve">and </w:t>
      </w:r>
      <w:r w:rsidR="00A37AE2">
        <w:rPr>
          <w:rFonts w:ascii="Arial" w:hAnsi="Arial" w:cs="Arial"/>
          <w:sz w:val="20"/>
          <w:szCs w:val="20"/>
        </w:rPr>
        <w:t xml:space="preserve">QoL </w:t>
      </w:r>
      <w:r w:rsidRPr="00100E3D">
        <w:rPr>
          <w:rFonts w:ascii="Arial" w:hAnsi="Arial" w:cs="Arial"/>
          <w:sz w:val="20"/>
          <w:szCs w:val="20"/>
        </w:rPr>
        <w:t>measures</w:t>
      </w:r>
      <w:r w:rsidR="006D31DD">
        <w:rPr>
          <w:rFonts w:ascii="Arial" w:hAnsi="Arial" w:cs="Arial"/>
          <w:sz w:val="20"/>
          <w:szCs w:val="20"/>
        </w:rPr>
        <w:t xml:space="preserve">, including functional outcomes </w:t>
      </w:r>
    </w:p>
    <w:p w:rsidR="002259E3" w:rsidRPr="00100E3D" w:rsidRDefault="002259E3" w:rsidP="002259E3">
      <w:pPr>
        <w:pStyle w:val="ListParagraph"/>
        <w:numPr>
          <w:ilvl w:val="0"/>
          <w:numId w:val="16"/>
        </w:numPr>
        <w:spacing w:after="0" w:line="240" w:lineRule="auto"/>
        <w:ind w:left="709" w:hanging="425"/>
        <w:rPr>
          <w:rFonts w:ascii="Arial" w:hAnsi="Arial" w:cs="Arial"/>
          <w:sz w:val="20"/>
          <w:szCs w:val="20"/>
        </w:rPr>
      </w:pPr>
      <w:r w:rsidRPr="00100E3D">
        <w:rPr>
          <w:rFonts w:ascii="Arial" w:hAnsi="Arial" w:cs="Arial"/>
          <w:sz w:val="20"/>
          <w:szCs w:val="20"/>
        </w:rPr>
        <w:t xml:space="preserve">How to address sub-populations </w:t>
      </w:r>
      <w:r w:rsidR="00861867">
        <w:rPr>
          <w:rFonts w:ascii="Arial" w:hAnsi="Arial" w:cs="Arial"/>
          <w:sz w:val="20"/>
          <w:szCs w:val="20"/>
        </w:rPr>
        <w:t>in a coordinated approach, where the underlying epidemiology or unmet need may vary across markets</w:t>
      </w:r>
      <w:r w:rsidR="00422848">
        <w:rPr>
          <w:rFonts w:ascii="Arial" w:hAnsi="Arial" w:cs="Arial"/>
          <w:sz w:val="20"/>
          <w:szCs w:val="20"/>
        </w:rPr>
        <w:t xml:space="preserve">. The </w:t>
      </w:r>
      <w:r w:rsidR="006D31DD">
        <w:rPr>
          <w:rFonts w:ascii="Arial" w:hAnsi="Arial" w:cs="Arial"/>
          <w:sz w:val="20"/>
          <w:szCs w:val="20"/>
        </w:rPr>
        <w:t xml:space="preserve">relevance of </w:t>
      </w:r>
      <w:r w:rsidR="00422848">
        <w:rPr>
          <w:rFonts w:ascii="Arial" w:hAnsi="Arial" w:cs="Arial"/>
          <w:sz w:val="20"/>
          <w:szCs w:val="20"/>
        </w:rPr>
        <w:t>this</w:t>
      </w:r>
      <w:r w:rsidR="006D31DD">
        <w:rPr>
          <w:rFonts w:ascii="Arial" w:hAnsi="Arial" w:cs="Arial"/>
          <w:sz w:val="20"/>
          <w:szCs w:val="20"/>
        </w:rPr>
        <w:t xml:space="preserve"> is even more important given the genomics revolution and advent of personalized medicine </w:t>
      </w:r>
    </w:p>
    <w:p w:rsidR="002259E3" w:rsidRPr="00100E3D" w:rsidRDefault="002259E3" w:rsidP="002259E3">
      <w:pPr>
        <w:pStyle w:val="ListParagraph"/>
        <w:numPr>
          <w:ilvl w:val="0"/>
          <w:numId w:val="16"/>
        </w:numPr>
        <w:spacing w:after="0" w:line="240" w:lineRule="auto"/>
        <w:ind w:left="709" w:hanging="425"/>
        <w:rPr>
          <w:rFonts w:ascii="Arial" w:hAnsi="Arial" w:cs="Arial"/>
          <w:sz w:val="20"/>
          <w:szCs w:val="20"/>
        </w:rPr>
      </w:pPr>
      <w:r w:rsidRPr="00100E3D">
        <w:rPr>
          <w:rFonts w:ascii="Arial" w:hAnsi="Arial" w:cs="Arial"/>
          <w:sz w:val="20"/>
          <w:szCs w:val="20"/>
        </w:rPr>
        <w:t xml:space="preserve">How to further continue and expand on the </w:t>
      </w:r>
      <w:r w:rsidR="00861867">
        <w:rPr>
          <w:rFonts w:ascii="Arial" w:hAnsi="Arial" w:cs="Arial"/>
          <w:sz w:val="20"/>
          <w:szCs w:val="20"/>
        </w:rPr>
        <w:t xml:space="preserve">EUnetHTA </w:t>
      </w:r>
      <w:r w:rsidRPr="00100E3D">
        <w:rPr>
          <w:rFonts w:ascii="Arial" w:hAnsi="Arial" w:cs="Arial"/>
          <w:sz w:val="20"/>
          <w:szCs w:val="20"/>
        </w:rPr>
        <w:t xml:space="preserve">pilots and progress further implementation </w:t>
      </w:r>
    </w:p>
    <w:p w:rsidR="002259E3" w:rsidRPr="00100E3D" w:rsidRDefault="002259E3" w:rsidP="00A2480C">
      <w:pPr>
        <w:pStyle w:val="ListParagraph"/>
        <w:numPr>
          <w:ilvl w:val="0"/>
          <w:numId w:val="16"/>
        </w:numPr>
        <w:spacing w:after="0" w:line="240" w:lineRule="auto"/>
        <w:ind w:left="709" w:hanging="425"/>
        <w:rPr>
          <w:rFonts w:ascii="Arial" w:hAnsi="Arial" w:cs="Arial"/>
          <w:sz w:val="20"/>
          <w:szCs w:val="20"/>
        </w:rPr>
      </w:pPr>
      <w:r w:rsidRPr="00100E3D">
        <w:rPr>
          <w:rFonts w:ascii="Arial" w:hAnsi="Arial" w:cs="Arial"/>
          <w:sz w:val="20"/>
          <w:szCs w:val="20"/>
        </w:rPr>
        <w:t xml:space="preserve">The use of </w:t>
      </w:r>
      <w:r w:rsidR="00422848">
        <w:rPr>
          <w:rFonts w:ascii="Arial" w:hAnsi="Arial" w:cs="Arial"/>
          <w:sz w:val="20"/>
          <w:szCs w:val="20"/>
        </w:rPr>
        <w:t>RWE</w:t>
      </w:r>
      <w:r w:rsidR="0061555A">
        <w:rPr>
          <w:rFonts w:ascii="Arial" w:hAnsi="Arial" w:cs="Arial"/>
          <w:sz w:val="20"/>
          <w:szCs w:val="20"/>
        </w:rPr>
        <w:t xml:space="preserve"> </w:t>
      </w:r>
      <w:r w:rsidRPr="00100E3D">
        <w:rPr>
          <w:rFonts w:ascii="Arial" w:hAnsi="Arial" w:cs="Arial"/>
          <w:sz w:val="20"/>
          <w:szCs w:val="20"/>
        </w:rPr>
        <w:t>in contributing to evaluation</w:t>
      </w:r>
      <w:r w:rsidR="0061555A">
        <w:rPr>
          <w:rFonts w:ascii="Arial" w:hAnsi="Arial" w:cs="Arial"/>
          <w:sz w:val="20"/>
          <w:szCs w:val="20"/>
        </w:rPr>
        <w:t xml:space="preserve"> of medicines</w:t>
      </w:r>
      <w:r w:rsidR="006D31DD">
        <w:rPr>
          <w:rFonts w:ascii="Arial" w:hAnsi="Arial" w:cs="Arial"/>
          <w:sz w:val="20"/>
          <w:szCs w:val="20"/>
        </w:rPr>
        <w:t xml:space="preserve">, </w:t>
      </w:r>
      <w:r w:rsidR="005067C8">
        <w:rPr>
          <w:rFonts w:ascii="Arial" w:hAnsi="Arial" w:cs="Arial"/>
          <w:sz w:val="20"/>
          <w:szCs w:val="20"/>
        </w:rPr>
        <w:t>especially RWE</w:t>
      </w:r>
      <w:r w:rsidR="006D31DD">
        <w:rPr>
          <w:rFonts w:ascii="Arial" w:hAnsi="Arial" w:cs="Arial"/>
          <w:sz w:val="20"/>
          <w:szCs w:val="20"/>
        </w:rPr>
        <w:t xml:space="preserve"> with an angle on genomics,</w:t>
      </w:r>
      <w:r w:rsidR="00422848">
        <w:rPr>
          <w:rFonts w:ascii="Arial" w:hAnsi="Arial" w:cs="Arial"/>
          <w:sz w:val="20"/>
          <w:szCs w:val="20"/>
        </w:rPr>
        <w:t xml:space="preserve"> and patient centric endpoints</w:t>
      </w:r>
    </w:p>
    <w:p w:rsidR="00A2480C" w:rsidRPr="00100E3D" w:rsidRDefault="00A2480C" w:rsidP="00A2480C">
      <w:pPr>
        <w:spacing w:after="0" w:line="240" w:lineRule="auto"/>
        <w:rPr>
          <w:rFonts w:ascii="Arial" w:hAnsi="Arial" w:cs="Arial"/>
          <w:b/>
          <w:sz w:val="20"/>
          <w:szCs w:val="20"/>
        </w:rPr>
      </w:pPr>
    </w:p>
    <w:p w:rsidR="00A2480C" w:rsidRPr="00100E3D" w:rsidRDefault="00A2480C" w:rsidP="00A2480C">
      <w:pPr>
        <w:spacing w:after="0" w:line="240" w:lineRule="auto"/>
        <w:rPr>
          <w:rFonts w:ascii="Arial" w:hAnsi="Arial" w:cs="Arial"/>
          <w:b/>
          <w:sz w:val="20"/>
          <w:szCs w:val="20"/>
        </w:rPr>
      </w:pPr>
      <w:r w:rsidRPr="00100E3D">
        <w:rPr>
          <w:rFonts w:ascii="Arial" w:hAnsi="Arial" w:cs="Arial"/>
          <w:b/>
          <w:sz w:val="20"/>
          <w:szCs w:val="20"/>
        </w:rPr>
        <w:t>Areas representing potential challenges</w:t>
      </w:r>
    </w:p>
    <w:p w:rsidR="004444F8" w:rsidRDefault="0061555A" w:rsidP="002259E3">
      <w:pPr>
        <w:pStyle w:val="ListParagraph"/>
        <w:numPr>
          <w:ilvl w:val="0"/>
          <w:numId w:val="16"/>
        </w:numPr>
        <w:spacing w:after="0" w:line="240" w:lineRule="auto"/>
        <w:ind w:left="709" w:hanging="425"/>
        <w:rPr>
          <w:rFonts w:ascii="Arial" w:hAnsi="Arial" w:cs="Arial"/>
          <w:sz w:val="20"/>
          <w:szCs w:val="20"/>
        </w:rPr>
      </w:pPr>
      <w:r>
        <w:rPr>
          <w:rFonts w:ascii="Arial" w:hAnsi="Arial" w:cs="Arial"/>
          <w:sz w:val="20"/>
          <w:szCs w:val="20"/>
        </w:rPr>
        <w:t>Overcoming h</w:t>
      </w:r>
      <w:r w:rsidR="004444F8">
        <w:rPr>
          <w:rFonts w:ascii="Arial" w:hAnsi="Arial" w:cs="Arial"/>
          <w:sz w:val="20"/>
          <w:szCs w:val="20"/>
        </w:rPr>
        <w:t xml:space="preserve">istorical trust issues between stakeholders </w:t>
      </w:r>
    </w:p>
    <w:p w:rsidR="005067C8" w:rsidRDefault="004444F8" w:rsidP="005067C8">
      <w:pPr>
        <w:pStyle w:val="ListParagraph"/>
        <w:numPr>
          <w:ilvl w:val="0"/>
          <w:numId w:val="16"/>
        </w:numPr>
        <w:spacing w:after="0" w:line="240" w:lineRule="auto"/>
        <w:ind w:left="709" w:hanging="425"/>
        <w:rPr>
          <w:rFonts w:ascii="Arial" w:hAnsi="Arial" w:cs="Arial"/>
          <w:sz w:val="20"/>
          <w:szCs w:val="20"/>
        </w:rPr>
      </w:pPr>
      <w:r>
        <w:rPr>
          <w:rFonts w:ascii="Arial" w:hAnsi="Arial" w:cs="Arial"/>
          <w:sz w:val="20"/>
          <w:szCs w:val="20"/>
        </w:rPr>
        <w:t xml:space="preserve">Establishing viable mechanisms for cooperation while recognizing and accounting for underlying differences, such as health systems, clinical pathways, languages, values </w:t>
      </w:r>
    </w:p>
    <w:p w:rsidR="005067C8" w:rsidRDefault="004444F8" w:rsidP="005067C8">
      <w:pPr>
        <w:pStyle w:val="ListParagraph"/>
        <w:numPr>
          <w:ilvl w:val="0"/>
          <w:numId w:val="16"/>
        </w:numPr>
        <w:spacing w:after="0" w:line="240" w:lineRule="auto"/>
        <w:ind w:left="709" w:hanging="425"/>
        <w:rPr>
          <w:rFonts w:ascii="Arial" w:hAnsi="Arial" w:cs="Arial"/>
          <w:sz w:val="20"/>
          <w:szCs w:val="20"/>
        </w:rPr>
      </w:pPr>
      <w:r w:rsidRPr="005067C8">
        <w:rPr>
          <w:rFonts w:ascii="Arial" w:hAnsi="Arial" w:cs="Arial"/>
          <w:sz w:val="20"/>
          <w:szCs w:val="20"/>
        </w:rPr>
        <w:t>Gaining commitment and alignment among Member States, including appropriate representation of smaller countries</w:t>
      </w:r>
    </w:p>
    <w:p w:rsidR="005067C8" w:rsidRDefault="001A49B1" w:rsidP="005067C8">
      <w:pPr>
        <w:pStyle w:val="ListParagraph"/>
        <w:numPr>
          <w:ilvl w:val="0"/>
          <w:numId w:val="16"/>
        </w:numPr>
        <w:spacing w:after="0" w:line="240" w:lineRule="auto"/>
        <w:ind w:left="709" w:hanging="425"/>
        <w:rPr>
          <w:rFonts w:ascii="Arial" w:hAnsi="Arial" w:cs="Arial"/>
          <w:sz w:val="20"/>
          <w:szCs w:val="20"/>
        </w:rPr>
      </w:pPr>
      <w:r w:rsidRPr="001A49B1">
        <w:rPr>
          <w:rFonts w:ascii="Arial" w:hAnsi="Arial" w:cs="Arial"/>
          <w:sz w:val="20"/>
          <w:szCs w:val="20"/>
        </w:rPr>
        <w:t>Possibility of developing consistent methodologies and perspectives on evaluating sub-populations and softer clinical endpoints where there is strong variation in interpretation today</w:t>
      </w:r>
    </w:p>
    <w:p w:rsidR="00E016AB" w:rsidRPr="005067C8" w:rsidRDefault="002259E3" w:rsidP="005067C8">
      <w:pPr>
        <w:pStyle w:val="ListParagraph"/>
        <w:numPr>
          <w:ilvl w:val="0"/>
          <w:numId w:val="16"/>
        </w:numPr>
        <w:spacing w:after="0" w:line="240" w:lineRule="auto"/>
        <w:ind w:left="709" w:hanging="425"/>
        <w:rPr>
          <w:rFonts w:ascii="Arial" w:hAnsi="Arial" w:cs="Arial"/>
          <w:sz w:val="20"/>
          <w:szCs w:val="20"/>
        </w:rPr>
      </w:pPr>
      <w:r w:rsidRPr="005067C8">
        <w:rPr>
          <w:rFonts w:ascii="Arial" w:hAnsi="Arial" w:cs="Arial"/>
          <w:sz w:val="20"/>
          <w:szCs w:val="20"/>
        </w:rPr>
        <w:t xml:space="preserve">Alignment with </w:t>
      </w:r>
      <w:r w:rsidR="004444F8" w:rsidRPr="005067C8">
        <w:rPr>
          <w:rFonts w:ascii="Arial" w:hAnsi="Arial" w:cs="Arial"/>
          <w:sz w:val="20"/>
          <w:szCs w:val="20"/>
        </w:rPr>
        <w:t xml:space="preserve">other stakeholders that also require evidence, such as regulatory agencies and </w:t>
      </w:r>
      <w:r w:rsidRPr="005067C8">
        <w:rPr>
          <w:rFonts w:ascii="Arial" w:hAnsi="Arial" w:cs="Arial"/>
          <w:sz w:val="20"/>
          <w:szCs w:val="20"/>
        </w:rPr>
        <w:t xml:space="preserve">clinical guideline development </w:t>
      </w:r>
      <w:r w:rsidR="004444F8" w:rsidRPr="005067C8">
        <w:rPr>
          <w:rFonts w:ascii="Arial" w:hAnsi="Arial" w:cs="Arial"/>
          <w:sz w:val="20"/>
          <w:szCs w:val="20"/>
        </w:rPr>
        <w:t xml:space="preserve">bodies </w:t>
      </w:r>
      <w:r w:rsidRPr="005067C8">
        <w:rPr>
          <w:rFonts w:ascii="Arial" w:hAnsi="Arial" w:cs="Arial"/>
          <w:sz w:val="20"/>
          <w:szCs w:val="20"/>
        </w:rPr>
        <w:t>(national and international)</w:t>
      </w:r>
    </w:p>
    <w:p w:rsidR="002259E3" w:rsidRPr="00100E3D" w:rsidRDefault="002259E3" w:rsidP="005D1DBC">
      <w:pPr>
        <w:spacing w:after="0" w:line="240" w:lineRule="auto"/>
        <w:rPr>
          <w:rFonts w:ascii="Arial" w:hAnsi="Arial" w:cs="Arial"/>
          <w:b/>
          <w:color w:val="FFC000"/>
        </w:rPr>
      </w:pPr>
    </w:p>
    <w:p w:rsidR="0061555A" w:rsidRDefault="0061555A">
      <w:pPr>
        <w:rPr>
          <w:rFonts w:ascii="Arial" w:hAnsi="Arial" w:cs="Arial"/>
          <w:b/>
          <w:color w:val="00B0F0"/>
          <w:sz w:val="32"/>
          <w:szCs w:val="32"/>
        </w:rPr>
      </w:pPr>
      <w:r>
        <w:rPr>
          <w:rFonts w:ascii="Arial" w:hAnsi="Arial" w:cs="Arial"/>
          <w:b/>
          <w:color w:val="00B0F0"/>
          <w:sz w:val="32"/>
          <w:szCs w:val="32"/>
        </w:rPr>
        <w:br w:type="page"/>
      </w:r>
    </w:p>
    <w:p w:rsidR="00DE5E07" w:rsidRPr="00100E3D" w:rsidRDefault="00DE5E07" w:rsidP="00DE5E07">
      <w:pPr>
        <w:rPr>
          <w:rFonts w:ascii="Arial" w:hAnsi="Arial" w:cs="Arial"/>
          <w:b/>
          <w:color w:val="00B0F0"/>
          <w:sz w:val="32"/>
          <w:szCs w:val="32"/>
        </w:rPr>
      </w:pPr>
      <w:r w:rsidRPr="00100E3D">
        <w:rPr>
          <w:rFonts w:ascii="Arial" w:hAnsi="Arial" w:cs="Arial"/>
          <w:b/>
          <w:color w:val="00B0F0"/>
          <w:sz w:val="32"/>
          <w:szCs w:val="32"/>
        </w:rPr>
        <w:t>Overview of Issues Panel</w:t>
      </w:r>
    </w:p>
    <w:p w:rsidR="0060741D" w:rsidRPr="00100E3D" w:rsidRDefault="00DE5E07">
      <w:pPr>
        <w:rPr>
          <w:rFonts w:ascii="Arial" w:hAnsi="Arial" w:cs="Arial"/>
          <w:sz w:val="20"/>
          <w:szCs w:val="20"/>
        </w:rPr>
      </w:pPr>
      <w:r w:rsidRPr="00567784">
        <w:rPr>
          <w:rFonts w:ascii="Arial" w:hAnsi="Arial" w:cs="Arial"/>
          <w:sz w:val="20"/>
          <w:szCs w:val="20"/>
        </w:rPr>
        <w:t xml:space="preserve">With over 170 people in attendance, the Issue Panel was presented by key thought leaders representing </w:t>
      </w:r>
      <w:r w:rsidR="00422848" w:rsidRPr="00567784">
        <w:rPr>
          <w:rFonts w:ascii="Arial" w:hAnsi="Arial" w:cs="Arial"/>
          <w:sz w:val="20"/>
          <w:szCs w:val="20"/>
        </w:rPr>
        <w:t xml:space="preserve">Genetic Alliance UK (Patient view), </w:t>
      </w:r>
      <w:r w:rsidRPr="00567784">
        <w:rPr>
          <w:rFonts w:ascii="Arial" w:hAnsi="Arial" w:cs="Arial"/>
          <w:sz w:val="20"/>
          <w:szCs w:val="20"/>
        </w:rPr>
        <w:t>IMS Health (</w:t>
      </w:r>
      <w:r w:rsidR="00265935" w:rsidRPr="00567784">
        <w:rPr>
          <w:rFonts w:ascii="Arial" w:hAnsi="Arial" w:cs="Arial"/>
          <w:sz w:val="20"/>
          <w:szCs w:val="20"/>
        </w:rPr>
        <w:t xml:space="preserve">Analysis of HTA </w:t>
      </w:r>
      <w:r w:rsidR="004444F8" w:rsidRPr="00567784">
        <w:rPr>
          <w:rFonts w:ascii="Arial" w:hAnsi="Arial" w:cs="Arial"/>
          <w:sz w:val="20"/>
          <w:szCs w:val="20"/>
        </w:rPr>
        <w:t>Convergence</w:t>
      </w:r>
      <w:r w:rsidRPr="00567784">
        <w:rPr>
          <w:rFonts w:ascii="Arial" w:hAnsi="Arial" w:cs="Arial"/>
          <w:sz w:val="20"/>
          <w:szCs w:val="20"/>
        </w:rPr>
        <w:t xml:space="preserve">), Sanofi Pasteur MSD (Industry view), </w:t>
      </w:r>
      <w:r w:rsidR="00F1400C" w:rsidRPr="00567784">
        <w:rPr>
          <w:rFonts w:ascii="Arial" w:hAnsi="Arial" w:cs="Arial"/>
          <w:sz w:val="20"/>
          <w:szCs w:val="20"/>
        </w:rPr>
        <w:t>and Zorginstituut</w:t>
      </w:r>
      <w:r w:rsidRPr="00567784">
        <w:rPr>
          <w:rFonts w:ascii="Arial" w:hAnsi="Arial" w:cs="Arial"/>
          <w:sz w:val="20"/>
          <w:szCs w:val="20"/>
        </w:rPr>
        <w:t xml:space="preserve"> Nederland (Member State view)</w:t>
      </w:r>
      <w:r w:rsidR="00F1400C" w:rsidRPr="00567784">
        <w:rPr>
          <w:rFonts w:ascii="Arial" w:hAnsi="Arial" w:cs="Arial"/>
          <w:sz w:val="20"/>
          <w:szCs w:val="20"/>
        </w:rPr>
        <w:t>.</w:t>
      </w:r>
      <w:r w:rsidR="00F1400C" w:rsidRPr="00100E3D">
        <w:rPr>
          <w:rFonts w:ascii="Arial" w:hAnsi="Arial" w:cs="Arial"/>
          <w:sz w:val="20"/>
          <w:szCs w:val="20"/>
        </w:rPr>
        <w:t xml:space="preserve"> </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7031"/>
      </w:tblGrid>
      <w:tr w:rsidR="008C6DCF" w:rsidRPr="00100E3D" w:rsidTr="008C6DCF">
        <w:tc>
          <w:tcPr>
            <w:tcW w:w="2716" w:type="dxa"/>
          </w:tcPr>
          <w:p w:rsidR="008C6DCF" w:rsidRPr="00100E3D" w:rsidRDefault="008C6DCF" w:rsidP="008C6DCF">
            <w:pPr>
              <w:spacing w:after="200" w:line="276" w:lineRule="auto"/>
              <w:rPr>
                <w:rFonts w:ascii="Arial" w:hAnsi="Arial" w:cs="Arial"/>
                <w:sz w:val="20"/>
                <w:szCs w:val="20"/>
              </w:rPr>
            </w:pPr>
            <w:r w:rsidRPr="00100E3D">
              <w:rPr>
                <w:rFonts w:ascii="Arial" w:hAnsi="Arial" w:cs="Arial"/>
                <w:b/>
                <w:bCs/>
                <w:sz w:val="20"/>
                <w:szCs w:val="20"/>
              </w:rPr>
              <w:t>Introduction</w:t>
            </w:r>
          </w:p>
        </w:tc>
        <w:tc>
          <w:tcPr>
            <w:tcW w:w="7031" w:type="dxa"/>
          </w:tcPr>
          <w:p w:rsidR="008C6DCF" w:rsidRPr="00100E3D" w:rsidRDefault="008C6DCF" w:rsidP="001F3251">
            <w:pPr>
              <w:spacing w:after="200" w:line="276" w:lineRule="auto"/>
              <w:rPr>
                <w:rFonts w:ascii="Arial" w:hAnsi="Arial" w:cs="Arial"/>
                <w:sz w:val="20"/>
                <w:szCs w:val="20"/>
              </w:rPr>
            </w:pPr>
            <w:r w:rsidRPr="00100E3D">
              <w:rPr>
                <w:rFonts w:ascii="Arial" w:hAnsi="Arial" w:cs="Arial"/>
                <w:i/>
                <w:iCs/>
                <w:sz w:val="20"/>
                <w:szCs w:val="20"/>
              </w:rPr>
              <w:t xml:space="preserve">Alastair Kent, OBE, Genetic Alliance UK, London, UK </w:t>
            </w:r>
          </w:p>
        </w:tc>
      </w:tr>
      <w:tr w:rsidR="008C6DCF" w:rsidRPr="00100E3D" w:rsidTr="008C6DCF">
        <w:tc>
          <w:tcPr>
            <w:tcW w:w="2716" w:type="dxa"/>
          </w:tcPr>
          <w:p w:rsidR="008C6DCF" w:rsidRPr="00100E3D" w:rsidRDefault="008C6DCF" w:rsidP="008C6DCF">
            <w:pPr>
              <w:spacing w:after="200" w:line="276" w:lineRule="auto"/>
              <w:rPr>
                <w:rFonts w:ascii="Arial" w:hAnsi="Arial" w:cs="Arial"/>
                <w:sz w:val="20"/>
                <w:szCs w:val="20"/>
              </w:rPr>
            </w:pPr>
            <w:r w:rsidRPr="00100E3D">
              <w:rPr>
                <w:rFonts w:ascii="Arial" w:hAnsi="Arial" w:cs="Arial"/>
                <w:b/>
                <w:bCs/>
                <w:sz w:val="20"/>
                <w:szCs w:val="20"/>
                <w:lang w:val="en-US"/>
              </w:rPr>
              <w:t xml:space="preserve">Recent HTA decisions </w:t>
            </w:r>
          </w:p>
        </w:tc>
        <w:tc>
          <w:tcPr>
            <w:tcW w:w="7031" w:type="dxa"/>
          </w:tcPr>
          <w:p w:rsidR="008C6DCF" w:rsidRPr="00100E3D" w:rsidRDefault="008C6DCF" w:rsidP="001F3251">
            <w:pPr>
              <w:spacing w:after="200" w:line="276" w:lineRule="auto"/>
              <w:rPr>
                <w:rFonts w:ascii="Arial" w:hAnsi="Arial" w:cs="Arial"/>
                <w:sz w:val="20"/>
                <w:szCs w:val="20"/>
              </w:rPr>
            </w:pPr>
            <w:r w:rsidRPr="00100E3D">
              <w:rPr>
                <w:rFonts w:ascii="Arial" w:hAnsi="Arial" w:cs="Arial"/>
                <w:i/>
                <w:iCs/>
                <w:sz w:val="20"/>
                <w:szCs w:val="20"/>
              </w:rPr>
              <w:t xml:space="preserve">Jacco Keja, PhD, IMS Health, Rotterdam, The Netherlands </w:t>
            </w:r>
          </w:p>
        </w:tc>
      </w:tr>
      <w:tr w:rsidR="008C6DCF" w:rsidRPr="00100E3D" w:rsidTr="008C6DCF">
        <w:tc>
          <w:tcPr>
            <w:tcW w:w="2716" w:type="dxa"/>
          </w:tcPr>
          <w:p w:rsidR="008C6DCF" w:rsidRPr="00100E3D" w:rsidRDefault="008C6DCF" w:rsidP="008C6DCF">
            <w:pPr>
              <w:spacing w:after="200" w:line="276" w:lineRule="auto"/>
              <w:rPr>
                <w:rFonts w:ascii="Arial" w:hAnsi="Arial" w:cs="Arial"/>
                <w:sz w:val="20"/>
                <w:szCs w:val="20"/>
              </w:rPr>
            </w:pPr>
            <w:r w:rsidRPr="00100E3D">
              <w:rPr>
                <w:rFonts w:ascii="Arial" w:hAnsi="Arial" w:cs="Arial"/>
                <w:b/>
                <w:bCs/>
                <w:sz w:val="20"/>
                <w:szCs w:val="20"/>
                <w:lang w:val="en-US"/>
              </w:rPr>
              <w:t>Industry view</w:t>
            </w:r>
            <w:r w:rsidRPr="00100E3D">
              <w:rPr>
                <w:rFonts w:ascii="Arial" w:hAnsi="Arial" w:cs="Arial"/>
                <w:b/>
                <w:bCs/>
                <w:sz w:val="20"/>
                <w:szCs w:val="20"/>
              </w:rPr>
              <w:t xml:space="preserve"> </w:t>
            </w:r>
          </w:p>
        </w:tc>
        <w:tc>
          <w:tcPr>
            <w:tcW w:w="7031" w:type="dxa"/>
          </w:tcPr>
          <w:p w:rsidR="008C6DCF" w:rsidRPr="00100E3D" w:rsidRDefault="008C6DCF" w:rsidP="001F3251">
            <w:pPr>
              <w:spacing w:after="200" w:line="276" w:lineRule="auto"/>
              <w:rPr>
                <w:rFonts w:ascii="Arial" w:hAnsi="Arial" w:cs="Arial"/>
                <w:sz w:val="20"/>
                <w:szCs w:val="20"/>
              </w:rPr>
            </w:pPr>
            <w:r w:rsidRPr="00100E3D">
              <w:rPr>
                <w:rFonts w:ascii="Arial" w:hAnsi="Arial" w:cs="Arial"/>
                <w:i/>
                <w:iCs/>
                <w:sz w:val="20"/>
                <w:szCs w:val="20"/>
              </w:rPr>
              <w:t>Andrea Rappagliosi, LLM, Sanofi Pasteur MSD, Lyon, France</w:t>
            </w:r>
          </w:p>
        </w:tc>
      </w:tr>
      <w:tr w:rsidR="008C6DCF" w:rsidRPr="006864B2" w:rsidTr="008C6DCF">
        <w:tc>
          <w:tcPr>
            <w:tcW w:w="2716" w:type="dxa"/>
          </w:tcPr>
          <w:p w:rsidR="008C6DCF" w:rsidRPr="00100E3D" w:rsidRDefault="008C6DCF" w:rsidP="008C6DCF">
            <w:pPr>
              <w:spacing w:after="200" w:line="276" w:lineRule="auto"/>
              <w:rPr>
                <w:rFonts w:ascii="Arial" w:hAnsi="Arial" w:cs="Arial"/>
                <w:sz w:val="20"/>
                <w:szCs w:val="20"/>
              </w:rPr>
            </w:pPr>
            <w:r w:rsidRPr="00100E3D">
              <w:rPr>
                <w:rFonts w:ascii="Arial" w:hAnsi="Arial" w:cs="Arial"/>
                <w:b/>
                <w:bCs/>
                <w:sz w:val="20"/>
                <w:szCs w:val="20"/>
                <w:lang w:val="en-US"/>
              </w:rPr>
              <w:t>Member State view</w:t>
            </w:r>
          </w:p>
        </w:tc>
        <w:tc>
          <w:tcPr>
            <w:tcW w:w="7031" w:type="dxa"/>
          </w:tcPr>
          <w:p w:rsidR="008C6DCF" w:rsidRPr="006864B2" w:rsidRDefault="00101CE1" w:rsidP="001F3251">
            <w:pPr>
              <w:spacing w:after="200" w:line="276" w:lineRule="auto"/>
              <w:rPr>
                <w:rFonts w:ascii="Arial" w:hAnsi="Arial" w:cs="Arial"/>
                <w:sz w:val="20"/>
                <w:szCs w:val="20"/>
                <w:lang w:val="nl-NL"/>
              </w:rPr>
            </w:pPr>
            <w:r w:rsidRPr="00101CE1">
              <w:rPr>
                <w:rFonts w:ascii="Arial" w:hAnsi="Arial" w:cs="Arial"/>
                <w:i/>
                <w:iCs/>
                <w:sz w:val="20"/>
                <w:szCs w:val="20"/>
                <w:lang w:val="nl-NL"/>
              </w:rPr>
              <w:t>Wim Goettsch, EUnetHTA JA2, Zorginstituut Nederland</w:t>
            </w:r>
          </w:p>
        </w:tc>
      </w:tr>
    </w:tbl>
    <w:p w:rsidR="00F1400C" w:rsidRPr="00100E3D" w:rsidRDefault="00F1400C" w:rsidP="00F1400C">
      <w:pPr>
        <w:pStyle w:val="ListParagraph"/>
        <w:numPr>
          <w:ilvl w:val="0"/>
          <w:numId w:val="4"/>
        </w:numPr>
        <w:ind w:left="426" w:hanging="142"/>
        <w:rPr>
          <w:rFonts w:ascii="Arial" w:hAnsi="Arial" w:cs="Arial"/>
          <w:sz w:val="20"/>
          <w:szCs w:val="20"/>
        </w:rPr>
      </w:pPr>
      <w:r w:rsidRPr="00100E3D">
        <w:rPr>
          <w:rFonts w:ascii="Arial" w:hAnsi="Arial" w:cs="Arial"/>
          <w:b/>
          <w:i/>
          <w:sz w:val="20"/>
          <w:szCs w:val="20"/>
        </w:rPr>
        <w:t>Alastair Kent, Genetics Alliance,</w:t>
      </w:r>
      <w:r w:rsidR="008C6DCF" w:rsidRPr="00100E3D">
        <w:rPr>
          <w:rFonts w:ascii="Arial" w:hAnsi="Arial" w:cs="Arial"/>
          <w:sz w:val="20"/>
          <w:szCs w:val="20"/>
        </w:rPr>
        <w:t xml:space="preserve"> opened the session by providing </w:t>
      </w:r>
      <w:r w:rsidR="00265935">
        <w:rPr>
          <w:rFonts w:ascii="Arial" w:hAnsi="Arial" w:cs="Arial"/>
          <w:sz w:val="20"/>
          <w:szCs w:val="20"/>
        </w:rPr>
        <w:t xml:space="preserve">a </w:t>
      </w:r>
      <w:r w:rsidR="008C6DCF" w:rsidRPr="00100E3D">
        <w:rPr>
          <w:rFonts w:ascii="Arial" w:hAnsi="Arial" w:cs="Arial"/>
          <w:sz w:val="20"/>
          <w:szCs w:val="20"/>
        </w:rPr>
        <w:t xml:space="preserve">patient </w:t>
      </w:r>
      <w:r w:rsidR="00265935">
        <w:rPr>
          <w:rFonts w:ascii="Arial" w:hAnsi="Arial" w:cs="Arial"/>
          <w:sz w:val="20"/>
          <w:szCs w:val="20"/>
        </w:rPr>
        <w:t xml:space="preserve">perspective, focusing on </w:t>
      </w:r>
      <w:r w:rsidR="008C6DCF" w:rsidRPr="00100E3D">
        <w:rPr>
          <w:rFonts w:ascii="Arial" w:hAnsi="Arial" w:cs="Arial"/>
          <w:sz w:val="20"/>
          <w:szCs w:val="20"/>
        </w:rPr>
        <w:t xml:space="preserve">access </w:t>
      </w:r>
      <w:r w:rsidR="00265935">
        <w:rPr>
          <w:rFonts w:ascii="Arial" w:hAnsi="Arial" w:cs="Arial"/>
          <w:sz w:val="20"/>
          <w:szCs w:val="20"/>
        </w:rPr>
        <w:t xml:space="preserve">to medicines </w:t>
      </w:r>
      <w:r w:rsidR="008C6DCF" w:rsidRPr="00100E3D">
        <w:rPr>
          <w:rFonts w:ascii="Arial" w:hAnsi="Arial" w:cs="Arial"/>
          <w:sz w:val="20"/>
          <w:szCs w:val="20"/>
        </w:rPr>
        <w:t xml:space="preserve">and the patient as a key stakeholder in the </w:t>
      </w:r>
      <w:r w:rsidR="00265935">
        <w:rPr>
          <w:rFonts w:ascii="Arial" w:hAnsi="Arial" w:cs="Arial"/>
          <w:sz w:val="20"/>
          <w:szCs w:val="20"/>
        </w:rPr>
        <w:t xml:space="preserve">discussion </w:t>
      </w:r>
      <w:r w:rsidR="008C6DCF" w:rsidRPr="00100E3D">
        <w:rPr>
          <w:rFonts w:ascii="Arial" w:hAnsi="Arial" w:cs="Arial"/>
          <w:sz w:val="20"/>
          <w:szCs w:val="20"/>
        </w:rPr>
        <w:t xml:space="preserve">regarding a coordinated approach to European HTA. </w:t>
      </w:r>
      <w:r w:rsidR="00D5384E">
        <w:rPr>
          <w:rFonts w:ascii="Arial" w:hAnsi="Arial" w:cs="Arial"/>
          <w:sz w:val="20"/>
          <w:szCs w:val="20"/>
        </w:rPr>
        <w:t xml:space="preserve">However, it was noted </w:t>
      </w:r>
      <w:r w:rsidR="008C6DCF" w:rsidRPr="00100E3D">
        <w:rPr>
          <w:rFonts w:ascii="Arial" w:hAnsi="Arial" w:cs="Arial"/>
          <w:sz w:val="20"/>
          <w:szCs w:val="20"/>
        </w:rPr>
        <w:t xml:space="preserve">that there </w:t>
      </w:r>
      <w:r w:rsidR="004444F8">
        <w:rPr>
          <w:rFonts w:ascii="Arial" w:hAnsi="Arial" w:cs="Arial"/>
          <w:sz w:val="20"/>
          <w:szCs w:val="20"/>
        </w:rPr>
        <w:t xml:space="preserve">can be </w:t>
      </w:r>
      <w:r w:rsidR="008C6DCF" w:rsidRPr="00100E3D">
        <w:rPr>
          <w:rFonts w:ascii="Arial" w:hAnsi="Arial" w:cs="Arial"/>
          <w:sz w:val="20"/>
          <w:szCs w:val="20"/>
        </w:rPr>
        <w:t xml:space="preserve">benefit to </w:t>
      </w:r>
      <w:r w:rsidR="00265935">
        <w:rPr>
          <w:rFonts w:ascii="Arial" w:hAnsi="Arial" w:cs="Arial"/>
          <w:sz w:val="20"/>
          <w:szCs w:val="20"/>
        </w:rPr>
        <w:t xml:space="preserve">differential access across Europe </w:t>
      </w:r>
      <w:r w:rsidR="008C6DCF" w:rsidRPr="00100E3D">
        <w:rPr>
          <w:rFonts w:ascii="Arial" w:hAnsi="Arial" w:cs="Arial"/>
          <w:sz w:val="20"/>
          <w:szCs w:val="20"/>
        </w:rPr>
        <w:t xml:space="preserve">in that </w:t>
      </w:r>
      <w:r w:rsidR="004444F8">
        <w:rPr>
          <w:rFonts w:ascii="Arial" w:hAnsi="Arial" w:cs="Arial"/>
          <w:sz w:val="20"/>
          <w:szCs w:val="20"/>
        </w:rPr>
        <w:t xml:space="preserve">a “no” in one country is not a “no” for everyone; positive evaluations and access to a medicine in one country </w:t>
      </w:r>
      <w:r w:rsidR="008C6DCF" w:rsidRPr="00100E3D">
        <w:rPr>
          <w:rFonts w:ascii="Arial" w:hAnsi="Arial" w:cs="Arial"/>
          <w:sz w:val="20"/>
          <w:szCs w:val="20"/>
        </w:rPr>
        <w:t xml:space="preserve">allows for the development of </w:t>
      </w:r>
      <w:r w:rsidR="0061555A">
        <w:rPr>
          <w:rFonts w:ascii="Arial" w:hAnsi="Arial" w:cs="Arial"/>
          <w:sz w:val="20"/>
          <w:szCs w:val="20"/>
        </w:rPr>
        <w:t xml:space="preserve">RWE </w:t>
      </w:r>
      <w:r w:rsidR="004444F8">
        <w:rPr>
          <w:rFonts w:ascii="Arial" w:hAnsi="Arial" w:cs="Arial"/>
          <w:sz w:val="20"/>
          <w:szCs w:val="20"/>
        </w:rPr>
        <w:t>to be provided to others</w:t>
      </w:r>
      <w:r w:rsidR="008C6DCF" w:rsidRPr="00100E3D">
        <w:rPr>
          <w:rFonts w:ascii="Arial" w:hAnsi="Arial" w:cs="Arial"/>
          <w:sz w:val="20"/>
          <w:szCs w:val="20"/>
        </w:rPr>
        <w:t>, which can contribute to a change in decision</w:t>
      </w:r>
      <w:r w:rsidR="00D5384E">
        <w:rPr>
          <w:rFonts w:ascii="Arial" w:hAnsi="Arial" w:cs="Arial"/>
          <w:sz w:val="20"/>
          <w:szCs w:val="20"/>
        </w:rPr>
        <w:t xml:space="preserve">; a coordinated approach should not </w:t>
      </w:r>
      <w:r w:rsidR="00014B53">
        <w:rPr>
          <w:rFonts w:ascii="Arial" w:hAnsi="Arial" w:cs="Arial"/>
          <w:sz w:val="20"/>
          <w:szCs w:val="20"/>
        </w:rPr>
        <w:t xml:space="preserve">create further challenges for </w:t>
      </w:r>
      <w:r w:rsidR="00D5384E">
        <w:rPr>
          <w:rFonts w:ascii="Arial" w:hAnsi="Arial" w:cs="Arial"/>
          <w:sz w:val="20"/>
          <w:szCs w:val="20"/>
        </w:rPr>
        <w:t>patient access.</w:t>
      </w:r>
    </w:p>
    <w:p w:rsidR="008C6DCF" w:rsidRPr="00100E3D" w:rsidRDefault="008C6DCF" w:rsidP="008C6DCF">
      <w:pPr>
        <w:pStyle w:val="ListParagraph"/>
        <w:ind w:left="426"/>
        <w:rPr>
          <w:rFonts w:ascii="Arial" w:hAnsi="Arial" w:cs="Arial"/>
          <w:sz w:val="20"/>
          <w:szCs w:val="20"/>
        </w:rPr>
      </w:pPr>
    </w:p>
    <w:p w:rsidR="008C6DCF" w:rsidRPr="00100E3D" w:rsidRDefault="00DE5E07" w:rsidP="00F1400C">
      <w:pPr>
        <w:pStyle w:val="ListParagraph"/>
        <w:numPr>
          <w:ilvl w:val="0"/>
          <w:numId w:val="4"/>
        </w:numPr>
        <w:ind w:left="426" w:hanging="142"/>
        <w:rPr>
          <w:rFonts w:ascii="Arial" w:hAnsi="Arial" w:cs="Arial"/>
          <w:sz w:val="20"/>
          <w:szCs w:val="20"/>
        </w:rPr>
      </w:pPr>
      <w:r w:rsidRPr="00100E3D">
        <w:rPr>
          <w:rFonts w:ascii="Arial" w:hAnsi="Arial" w:cs="Arial"/>
          <w:b/>
          <w:i/>
          <w:sz w:val="20"/>
          <w:szCs w:val="20"/>
        </w:rPr>
        <w:t>Jacco Keja, IMS Health</w:t>
      </w:r>
      <w:r w:rsidR="00F1400C" w:rsidRPr="00100E3D">
        <w:rPr>
          <w:rFonts w:ascii="Arial" w:hAnsi="Arial" w:cs="Arial"/>
          <w:b/>
          <w:i/>
          <w:sz w:val="20"/>
          <w:szCs w:val="20"/>
        </w:rPr>
        <w:t>,</w:t>
      </w:r>
      <w:r w:rsidRPr="00100E3D">
        <w:rPr>
          <w:rFonts w:ascii="Arial" w:hAnsi="Arial" w:cs="Arial"/>
          <w:b/>
          <w:i/>
          <w:sz w:val="20"/>
          <w:szCs w:val="20"/>
        </w:rPr>
        <w:t xml:space="preserve"> </w:t>
      </w:r>
      <w:r w:rsidRPr="00100E3D">
        <w:rPr>
          <w:rFonts w:ascii="Arial" w:hAnsi="Arial" w:cs="Arial"/>
          <w:sz w:val="20"/>
          <w:szCs w:val="20"/>
        </w:rPr>
        <w:t xml:space="preserve">presented an </w:t>
      </w:r>
      <w:r w:rsidR="004444F8">
        <w:rPr>
          <w:rFonts w:ascii="Arial" w:hAnsi="Arial" w:cs="Arial"/>
          <w:sz w:val="20"/>
          <w:szCs w:val="20"/>
        </w:rPr>
        <w:t xml:space="preserve">analysis of the extent of convergence </w:t>
      </w:r>
      <w:r w:rsidRPr="00100E3D">
        <w:rPr>
          <w:rFonts w:ascii="Arial" w:hAnsi="Arial" w:cs="Arial"/>
          <w:sz w:val="20"/>
          <w:szCs w:val="20"/>
        </w:rPr>
        <w:t>in HTA across Europe</w:t>
      </w:r>
      <w:r w:rsidR="00265935">
        <w:rPr>
          <w:rFonts w:ascii="Arial" w:hAnsi="Arial" w:cs="Arial"/>
          <w:sz w:val="20"/>
          <w:szCs w:val="20"/>
        </w:rPr>
        <w:t xml:space="preserve"> </w:t>
      </w:r>
      <w:r w:rsidR="004444F8">
        <w:rPr>
          <w:rFonts w:ascii="Arial" w:hAnsi="Arial" w:cs="Arial"/>
          <w:sz w:val="20"/>
          <w:szCs w:val="20"/>
        </w:rPr>
        <w:t xml:space="preserve">and factors contributing to the observed </w:t>
      </w:r>
      <w:r w:rsidR="00265935">
        <w:rPr>
          <w:rFonts w:ascii="Arial" w:hAnsi="Arial" w:cs="Arial"/>
          <w:sz w:val="20"/>
          <w:szCs w:val="20"/>
        </w:rPr>
        <w:t>heterogeneity</w:t>
      </w:r>
      <w:r w:rsidR="00380384" w:rsidRPr="00100E3D">
        <w:rPr>
          <w:rFonts w:ascii="Arial" w:hAnsi="Arial" w:cs="Arial"/>
          <w:sz w:val="20"/>
          <w:szCs w:val="20"/>
        </w:rPr>
        <w:t xml:space="preserve">. </w:t>
      </w:r>
      <w:r w:rsidR="00265935">
        <w:rPr>
          <w:rFonts w:ascii="Arial" w:hAnsi="Arial" w:cs="Arial"/>
          <w:sz w:val="20"/>
          <w:szCs w:val="20"/>
        </w:rPr>
        <w:t>C</w:t>
      </w:r>
      <w:r w:rsidR="00F1400C" w:rsidRPr="00100E3D">
        <w:rPr>
          <w:rFonts w:ascii="Arial" w:hAnsi="Arial" w:cs="Arial"/>
          <w:sz w:val="20"/>
          <w:szCs w:val="20"/>
        </w:rPr>
        <w:t xml:space="preserve">omplexity in HTA is driven by many factors such as country-specific HTA systems, </w:t>
      </w:r>
      <w:r w:rsidR="00265935">
        <w:rPr>
          <w:rFonts w:ascii="Arial" w:hAnsi="Arial" w:cs="Arial"/>
          <w:sz w:val="20"/>
          <w:szCs w:val="20"/>
        </w:rPr>
        <w:t xml:space="preserve">variations in </w:t>
      </w:r>
      <w:r w:rsidR="00F1400C" w:rsidRPr="00100E3D">
        <w:rPr>
          <w:rFonts w:ascii="Arial" w:hAnsi="Arial" w:cs="Arial"/>
          <w:sz w:val="20"/>
          <w:szCs w:val="20"/>
        </w:rPr>
        <w:t>assessment criteria, variation in medical practice and differences in implementation. Due to inherent country differences affecting implementation, it was discussed that assessment</w:t>
      </w:r>
      <w:r w:rsidR="004444F8">
        <w:rPr>
          <w:rFonts w:ascii="Arial" w:hAnsi="Arial" w:cs="Arial"/>
          <w:sz w:val="20"/>
          <w:szCs w:val="20"/>
        </w:rPr>
        <w:t>, particularly around efficacy,</w:t>
      </w:r>
      <w:r w:rsidR="00F1400C" w:rsidRPr="00100E3D">
        <w:rPr>
          <w:rFonts w:ascii="Arial" w:hAnsi="Arial" w:cs="Arial"/>
          <w:sz w:val="20"/>
          <w:szCs w:val="20"/>
        </w:rPr>
        <w:t xml:space="preserve"> </w:t>
      </w:r>
      <w:r w:rsidR="004444F8">
        <w:rPr>
          <w:rFonts w:ascii="Arial" w:hAnsi="Arial" w:cs="Arial"/>
          <w:sz w:val="20"/>
          <w:szCs w:val="20"/>
        </w:rPr>
        <w:t xml:space="preserve">may be most appropriate for </w:t>
      </w:r>
      <w:r w:rsidR="00F1400C" w:rsidRPr="00100E3D">
        <w:rPr>
          <w:rFonts w:ascii="Arial" w:hAnsi="Arial" w:cs="Arial"/>
          <w:sz w:val="20"/>
          <w:szCs w:val="20"/>
        </w:rPr>
        <w:t xml:space="preserve">the focus of efforts for convergence. </w:t>
      </w:r>
    </w:p>
    <w:p w:rsidR="008C6DCF" w:rsidRPr="00100E3D" w:rsidRDefault="008C6DCF" w:rsidP="008C6DCF">
      <w:pPr>
        <w:pStyle w:val="ListParagraph"/>
        <w:ind w:left="426"/>
        <w:rPr>
          <w:rFonts w:ascii="Arial" w:hAnsi="Arial" w:cs="Arial"/>
          <w:sz w:val="20"/>
          <w:szCs w:val="20"/>
        </w:rPr>
      </w:pPr>
    </w:p>
    <w:p w:rsidR="00B75202" w:rsidRDefault="00F1400C">
      <w:pPr>
        <w:pStyle w:val="ListParagraph"/>
        <w:ind w:left="426"/>
        <w:rPr>
          <w:rFonts w:ascii="Arial" w:hAnsi="Arial" w:cs="Arial"/>
          <w:sz w:val="20"/>
          <w:szCs w:val="20"/>
        </w:rPr>
      </w:pPr>
      <w:r w:rsidRPr="00100E3D">
        <w:rPr>
          <w:rFonts w:ascii="Arial" w:hAnsi="Arial" w:cs="Arial"/>
          <w:sz w:val="20"/>
          <w:szCs w:val="20"/>
        </w:rPr>
        <w:t xml:space="preserve">Jacco presented the results of </w:t>
      </w:r>
      <w:r w:rsidR="00B6468E">
        <w:rPr>
          <w:rFonts w:ascii="Arial" w:hAnsi="Arial" w:cs="Arial"/>
          <w:sz w:val="20"/>
          <w:szCs w:val="20"/>
        </w:rPr>
        <w:t xml:space="preserve">an analysis of recent HTA assessments for four recent launches in Multiple Sclerosis </w:t>
      </w:r>
      <w:r w:rsidRPr="00100E3D">
        <w:rPr>
          <w:rFonts w:ascii="Arial" w:hAnsi="Arial" w:cs="Arial"/>
          <w:sz w:val="20"/>
          <w:szCs w:val="20"/>
        </w:rPr>
        <w:t xml:space="preserve">conducted by IMS. </w:t>
      </w:r>
      <w:r w:rsidR="00B6468E">
        <w:rPr>
          <w:rFonts w:ascii="Arial" w:hAnsi="Arial" w:cs="Arial"/>
          <w:sz w:val="20"/>
          <w:szCs w:val="20"/>
        </w:rPr>
        <w:t>K</w:t>
      </w:r>
      <w:r w:rsidRPr="00100E3D">
        <w:rPr>
          <w:rFonts w:ascii="Arial" w:hAnsi="Arial" w:cs="Arial"/>
          <w:sz w:val="20"/>
          <w:szCs w:val="20"/>
        </w:rPr>
        <w:t>ey factors contributing to divergence in HTA decisions across Europe were the nature of the therapeutic area, the nature of the clinical endpoint and the comparator selection.</w:t>
      </w:r>
      <w:r w:rsidR="008C6DCF" w:rsidRPr="00100E3D">
        <w:rPr>
          <w:rFonts w:ascii="Arial" w:hAnsi="Arial" w:cs="Arial"/>
          <w:sz w:val="20"/>
          <w:szCs w:val="20"/>
        </w:rPr>
        <w:t xml:space="preserve"> The case study highlighted differences in HTA decisions in different countries which would result ultimately in differential patient access to innovative therapies. </w:t>
      </w:r>
      <w:r w:rsidR="00014B53">
        <w:rPr>
          <w:rFonts w:ascii="Arial" w:hAnsi="Arial" w:cs="Arial"/>
          <w:sz w:val="20"/>
          <w:szCs w:val="20"/>
        </w:rPr>
        <w:t>The level of co</w:t>
      </w:r>
      <w:r w:rsidR="00B355EF" w:rsidRPr="00100E3D">
        <w:rPr>
          <w:rFonts w:ascii="Arial" w:hAnsi="Arial" w:cs="Arial"/>
          <w:sz w:val="20"/>
          <w:szCs w:val="20"/>
        </w:rPr>
        <w:t xml:space="preserve">ordination that a </w:t>
      </w:r>
      <w:r w:rsidR="008C6DCF" w:rsidRPr="00100E3D">
        <w:rPr>
          <w:rFonts w:ascii="Arial" w:hAnsi="Arial" w:cs="Arial"/>
          <w:sz w:val="20"/>
          <w:szCs w:val="20"/>
        </w:rPr>
        <w:t xml:space="preserve">European level </w:t>
      </w:r>
      <w:r w:rsidR="00B355EF" w:rsidRPr="00100E3D">
        <w:rPr>
          <w:rFonts w:ascii="Arial" w:hAnsi="Arial" w:cs="Arial"/>
          <w:sz w:val="20"/>
          <w:szCs w:val="20"/>
        </w:rPr>
        <w:t xml:space="preserve">HTA approach should allow was discussed; it was suggested that a coordinated evaluation of clinical evidence </w:t>
      </w:r>
      <w:r w:rsidR="00B6468E">
        <w:rPr>
          <w:rFonts w:ascii="Arial" w:hAnsi="Arial" w:cs="Arial"/>
          <w:sz w:val="20"/>
          <w:szCs w:val="20"/>
        </w:rPr>
        <w:t xml:space="preserve">could be beneficial, even if </w:t>
      </w:r>
      <w:r w:rsidR="00B355EF" w:rsidRPr="00100E3D">
        <w:rPr>
          <w:rFonts w:ascii="Arial" w:hAnsi="Arial" w:cs="Arial"/>
          <w:sz w:val="20"/>
          <w:szCs w:val="20"/>
        </w:rPr>
        <w:t>country-specific decisions regarding implementation</w:t>
      </w:r>
      <w:r w:rsidR="00B6468E">
        <w:rPr>
          <w:rFonts w:ascii="Arial" w:hAnsi="Arial" w:cs="Arial"/>
          <w:sz w:val="20"/>
          <w:szCs w:val="20"/>
        </w:rPr>
        <w:t xml:space="preserve"> remain</w:t>
      </w:r>
      <w:r w:rsidR="00B355EF" w:rsidRPr="00100E3D">
        <w:rPr>
          <w:rFonts w:ascii="Arial" w:hAnsi="Arial" w:cs="Arial"/>
          <w:sz w:val="20"/>
          <w:szCs w:val="20"/>
        </w:rPr>
        <w:t xml:space="preserve">. </w:t>
      </w:r>
    </w:p>
    <w:p w:rsidR="003A2FF1" w:rsidRPr="00100E3D" w:rsidRDefault="003A2FF1" w:rsidP="003A2FF1">
      <w:pPr>
        <w:pStyle w:val="ListParagraph"/>
        <w:rPr>
          <w:rFonts w:ascii="Arial" w:hAnsi="Arial" w:cs="Arial"/>
          <w:sz w:val="20"/>
          <w:szCs w:val="20"/>
        </w:rPr>
      </w:pPr>
    </w:p>
    <w:p w:rsidR="00181B8D" w:rsidRPr="00100E3D" w:rsidRDefault="003A2FF1" w:rsidP="00181B8D">
      <w:pPr>
        <w:pStyle w:val="ListParagraph"/>
        <w:numPr>
          <w:ilvl w:val="0"/>
          <w:numId w:val="4"/>
        </w:numPr>
        <w:ind w:left="426" w:hanging="142"/>
        <w:rPr>
          <w:rFonts w:ascii="Arial" w:hAnsi="Arial" w:cs="Arial"/>
          <w:sz w:val="20"/>
          <w:szCs w:val="20"/>
        </w:rPr>
      </w:pPr>
      <w:r w:rsidRPr="00100E3D">
        <w:rPr>
          <w:rFonts w:ascii="Arial" w:hAnsi="Arial" w:cs="Arial"/>
          <w:b/>
          <w:i/>
          <w:sz w:val="20"/>
          <w:szCs w:val="20"/>
        </w:rPr>
        <w:t>Andrea Rappagliosi, Sanofi Pasteur MSD,</w:t>
      </w:r>
      <w:r w:rsidRPr="00100E3D">
        <w:rPr>
          <w:rFonts w:ascii="Arial" w:hAnsi="Arial" w:cs="Arial"/>
          <w:sz w:val="20"/>
          <w:szCs w:val="20"/>
        </w:rPr>
        <w:t xml:space="preserve"> presented the industry view highlighting the need for European </w:t>
      </w:r>
      <w:r w:rsidR="00422848">
        <w:rPr>
          <w:rFonts w:ascii="Arial" w:hAnsi="Arial" w:cs="Arial"/>
          <w:sz w:val="20"/>
          <w:szCs w:val="20"/>
        </w:rPr>
        <w:t>REAs</w:t>
      </w:r>
      <w:r w:rsidRPr="00100E3D">
        <w:rPr>
          <w:rFonts w:ascii="Arial" w:hAnsi="Arial" w:cs="Arial"/>
          <w:sz w:val="20"/>
          <w:szCs w:val="20"/>
        </w:rPr>
        <w:t xml:space="preserve"> to improve patient access to medicines, providing examples of pilot initiatives and lessons learned to date in this area</w:t>
      </w:r>
      <w:r w:rsidR="00181B8D" w:rsidRPr="00100E3D">
        <w:rPr>
          <w:rFonts w:ascii="Arial" w:hAnsi="Arial" w:cs="Arial"/>
          <w:sz w:val="20"/>
          <w:szCs w:val="20"/>
        </w:rPr>
        <w:t>.</w:t>
      </w:r>
    </w:p>
    <w:p w:rsidR="00181B8D" w:rsidRPr="00100E3D" w:rsidRDefault="00181B8D" w:rsidP="00181B8D">
      <w:pPr>
        <w:pStyle w:val="ListParagraph"/>
        <w:rPr>
          <w:rFonts w:ascii="Arial" w:hAnsi="Arial" w:cs="Arial"/>
          <w:sz w:val="20"/>
          <w:szCs w:val="20"/>
        </w:rPr>
      </w:pPr>
    </w:p>
    <w:p w:rsidR="0066644B" w:rsidRPr="00100E3D" w:rsidRDefault="00B6468E" w:rsidP="00FF71A9">
      <w:pPr>
        <w:pStyle w:val="ListParagraph"/>
        <w:ind w:left="426"/>
        <w:rPr>
          <w:rFonts w:ascii="Arial" w:hAnsi="Arial" w:cs="Arial"/>
          <w:sz w:val="20"/>
          <w:szCs w:val="20"/>
        </w:rPr>
      </w:pPr>
      <w:r>
        <w:rPr>
          <w:rFonts w:ascii="Arial" w:hAnsi="Arial" w:cs="Arial"/>
          <w:sz w:val="20"/>
          <w:szCs w:val="20"/>
        </w:rPr>
        <w:t xml:space="preserve">Andrea </w:t>
      </w:r>
      <w:r w:rsidR="00181B8D" w:rsidRPr="00100E3D">
        <w:rPr>
          <w:rFonts w:ascii="Arial" w:hAnsi="Arial" w:cs="Arial"/>
          <w:sz w:val="20"/>
          <w:szCs w:val="20"/>
        </w:rPr>
        <w:t>explained that while “a disease is a disease, and a product is a product</w:t>
      </w:r>
      <w:r>
        <w:rPr>
          <w:rFonts w:ascii="Arial" w:hAnsi="Arial" w:cs="Arial"/>
          <w:sz w:val="20"/>
          <w:szCs w:val="20"/>
        </w:rPr>
        <w:t>,</w:t>
      </w:r>
      <w:r w:rsidR="00181B8D" w:rsidRPr="00100E3D">
        <w:rPr>
          <w:rFonts w:ascii="Arial" w:hAnsi="Arial" w:cs="Arial"/>
          <w:sz w:val="20"/>
          <w:szCs w:val="20"/>
        </w:rPr>
        <w:t xml:space="preserve">” these factors </w:t>
      </w:r>
      <w:r w:rsidR="00265935">
        <w:rPr>
          <w:rFonts w:ascii="Arial" w:hAnsi="Arial" w:cs="Arial"/>
          <w:sz w:val="20"/>
          <w:szCs w:val="20"/>
        </w:rPr>
        <w:t xml:space="preserve">are </w:t>
      </w:r>
      <w:r w:rsidR="00181B8D" w:rsidRPr="00100E3D">
        <w:rPr>
          <w:rFonts w:ascii="Arial" w:hAnsi="Arial" w:cs="Arial"/>
          <w:sz w:val="20"/>
          <w:szCs w:val="20"/>
        </w:rPr>
        <w:t xml:space="preserve">not </w:t>
      </w:r>
      <w:r w:rsidR="00265935">
        <w:rPr>
          <w:rFonts w:ascii="Arial" w:hAnsi="Arial" w:cs="Arial"/>
          <w:sz w:val="20"/>
          <w:szCs w:val="20"/>
        </w:rPr>
        <w:t xml:space="preserve">necessarily </w:t>
      </w:r>
      <w:r w:rsidR="00181B8D" w:rsidRPr="00100E3D">
        <w:rPr>
          <w:rFonts w:ascii="Arial" w:hAnsi="Arial" w:cs="Arial"/>
          <w:sz w:val="20"/>
          <w:szCs w:val="20"/>
        </w:rPr>
        <w:t>treated the same</w:t>
      </w:r>
      <w:r w:rsidR="00265935">
        <w:rPr>
          <w:rFonts w:ascii="Arial" w:hAnsi="Arial" w:cs="Arial"/>
          <w:sz w:val="20"/>
          <w:szCs w:val="20"/>
        </w:rPr>
        <w:t>, and</w:t>
      </w:r>
      <w:r w:rsidR="00181B8D" w:rsidRPr="00100E3D">
        <w:rPr>
          <w:rFonts w:ascii="Arial" w:hAnsi="Arial" w:cs="Arial"/>
          <w:sz w:val="20"/>
          <w:szCs w:val="20"/>
        </w:rPr>
        <w:t xml:space="preserve"> depend on the geography of a patient within Europe. The fact that clinical assessments are not viewed as a constant, leads in turn to inequality in patient access to medicines. It was described that the </w:t>
      </w:r>
      <w:r w:rsidR="00265935">
        <w:rPr>
          <w:rFonts w:ascii="Arial" w:hAnsi="Arial" w:cs="Arial"/>
          <w:sz w:val="20"/>
          <w:szCs w:val="20"/>
        </w:rPr>
        <w:t xml:space="preserve">REAs could and </w:t>
      </w:r>
      <w:r w:rsidR="00181B8D" w:rsidRPr="00100E3D">
        <w:rPr>
          <w:rFonts w:ascii="Arial" w:hAnsi="Arial" w:cs="Arial"/>
          <w:sz w:val="20"/>
          <w:szCs w:val="20"/>
        </w:rPr>
        <w:t>should be</w:t>
      </w:r>
      <w:r w:rsidR="00265935">
        <w:rPr>
          <w:rFonts w:ascii="Arial" w:hAnsi="Arial" w:cs="Arial"/>
          <w:sz w:val="20"/>
          <w:szCs w:val="20"/>
        </w:rPr>
        <w:t xml:space="preserve"> </w:t>
      </w:r>
      <w:r w:rsidR="00181B8D" w:rsidRPr="00100E3D">
        <w:rPr>
          <w:rFonts w:ascii="Arial" w:hAnsi="Arial" w:cs="Arial"/>
          <w:sz w:val="20"/>
          <w:szCs w:val="20"/>
        </w:rPr>
        <w:t xml:space="preserve">centralised, whilst </w:t>
      </w:r>
      <w:r w:rsidR="00265935">
        <w:rPr>
          <w:rFonts w:ascii="Arial" w:hAnsi="Arial" w:cs="Arial"/>
          <w:sz w:val="20"/>
          <w:szCs w:val="20"/>
        </w:rPr>
        <w:t xml:space="preserve">still </w:t>
      </w:r>
      <w:r w:rsidR="00181B8D" w:rsidRPr="00100E3D">
        <w:rPr>
          <w:rFonts w:ascii="Arial" w:hAnsi="Arial" w:cs="Arial"/>
          <w:sz w:val="20"/>
          <w:szCs w:val="20"/>
        </w:rPr>
        <w:t>allowing for local considerations where necessary in aspects such as local issues related to the health problem, the local treatment pathw</w:t>
      </w:r>
      <w:r w:rsidR="0066644B" w:rsidRPr="00100E3D">
        <w:rPr>
          <w:rFonts w:ascii="Arial" w:hAnsi="Arial" w:cs="Arial"/>
          <w:sz w:val="20"/>
          <w:szCs w:val="20"/>
        </w:rPr>
        <w:t>ay and economic considerations. The benefits of this approach, for the healthcare system and for industr</w:t>
      </w:r>
      <w:r w:rsidR="00014B53">
        <w:rPr>
          <w:rFonts w:ascii="Arial" w:hAnsi="Arial" w:cs="Arial"/>
          <w:sz w:val="20"/>
          <w:szCs w:val="20"/>
        </w:rPr>
        <w:t>y were discussed, where by a co</w:t>
      </w:r>
      <w:r w:rsidR="0066644B" w:rsidRPr="00100E3D">
        <w:rPr>
          <w:rFonts w:ascii="Arial" w:hAnsi="Arial" w:cs="Arial"/>
          <w:sz w:val="20"/>
          <w:szCs w:val="20"/>
        </w:rPr>
        <w:t>ordinated approach would reduce the duplication in activities. A number of pilots, currently or previou</w:t>
      </w:r>
      <w:r w:rsidR="00606096" w:rsidRPr="00100E3D">
        <w:rPr>
          <w:rFonts w:ascii="Arial" w:hAnsi="Arial" w:cs="Arial"/>
          <w:sz w:val="20"/>
          <w:szCs w:val="20"/>
        </w:rPr>
        <w:t>sly underway</w:t>
      </w:r>
      <w:r w:rsidR="008D20C9">
        <w:rPr>
          <w:rFonts w:ascii="Arial" w:hAnsi="Arial" w:cs="Arial"/>
          <w:sz w:val="20"/>
          <w:szCs w:val="20"/>
        </w:rPr>
        <w:t>,</w:t>
      </w:r>
      <w:r w:rsidR="00606096" w:rsidRPr="00100E3D">
        <w:rPr>
          <w:rFonts w:ascii="Arial" w:hAnsi="Arial" w:cs="Arial"/>
          <w:sz w:val="20"/>
          <w:szCs w:val="20"/>
        </w:rPr>
        <w:t xml:space="preserve"> were presented</w:t>
      </w:r>
      <w:r>
        <w:rPr>
          <w:rFonts w:ascii="Arial" w:hAnsi="Arial" w:cs="Arial"/>
          <w:sz w:val="20"/>
          <w:szCs w:val="20"/>
        </w:rPr>
        <w:t xml:space="preserve">. Based on these pilots, some process and methodology improvements have been recommended, including </w:t>
      </w:r>
      <w:r w:rsidR="00640231" w:rsidRPr="00100E3D">
        <w:rPr>
          <w:rFonts w:ascii="Arial" w:hAnsi="Arial" w:cs="Arial"/>
          <w:sz w:val="20"/>
          <w:szCs w:val="20"/>
        </w:rPr>
        <w:t>need to utilise transferrable information between countries.</w:t>
      </w:r>
      <w:r>
        <w:rPr>
          <w:rFonts w:ascii="Arial" w:hAnsi="Arial" w:cs="Arial"/>
          <w:sz w:val="20"/>
          <w:szCs w:val="20"/>
        </w:rPr>
        <w:t xml:space="preserve"> Timing is also critical to maximize utility and re-use of the report.</w:t>
      </w:r>
    </w:p>
    <w:p w:rsidR="003A2FF1" w:rsidRPr="00100E3D" w:rsidRDefault="003A2FF1" w:rsidP="003A2FF1">
      <w:pPr>
        <w:pStyle w:val="ListParagraph"/>
        <w:rPr>
          <w:rFonts w:ascii="Arial" w:hAnsi="Arial" w:cs="Arial"/>
          <w:b/>
          <w:i/>
          <w:sz w:val="20"/>
          <w:szCs w:val="20"/>
        </w:rPr>
      </w:pPr>
    </w:p>
    <w:p w:rsidR="00FF71A9" w:rsidRPr="00100E3D" w:rsidRDefault="00DE5E07" w:rsidP="00FF71A9">
      <w:pPr>
        <w:pStyle w:val="ListParagraph"/>
        <w:numPr>
          <w:ilvl w:val="0"/>
          <w:numId w:val="4"/>
        </w:numPr>
        <w:ind w:left="426" w:hanging="142"/>
        <w:rPr>
          <w:rFonts w:ascii="Arial" w:hAnsi="Arial" w:cs="Arial"/>
          <w:sz w:val="20"/>
          <w:szCs w:val="20"/>
        </w:rPr>
      </w:pPr>
      <w:r w:rsidRPr="00100E3D">
        <w:rPr>
          <w:rFonts w:ascii="Arial" w:hAnsi="Arial" w:cs="Arial"/>
          <w:b/>
          <w:i/>
          <w:sz w:val="20"/>
          <w:szCs w:val="20"/>
        </w:rPr>
        <w:t>Wim Goettsch, Zorginstituut Nederland</w:t>
      </w:r>
      <w:r w:rsidR="00C738B7" w:rsidRPr="00100E3D">
        <w:rPr>
          <w:rFonts w:ascii="Arial" w:hAnsi="Arial" w:cs="Arial"/>
          <w:b/>
          <w:i/>
          <w:sz w:val="20"/>
          <w:szCs w:val="20"/>
        </w:rPr>
        <w:t xml:space="preserve">, </w:t>
      </w:r>
      <w:r w:rsidR="00C738B7" w:rsidRPr="00100E3D">
        <w:rPr>
          <w:rFonts w:ascii="Arial" w:hAnsi="Arial" w:cs="Arial"/>
          <w:sz w:val="20"/>
          <w:szCs w:val="20"/>
        </w:rPr>
        <w:t xml:space="preserve">presented the Dutch Member State experience and view on a convergent HTA approach, including previous pilots that The Netherlands had been involved with in this area. </w:t>
      </w:r>
    </w:p>
    <w:p w:rsidR="00FF71A9" w:rsidRPr="00100E3D" w:rsidRDefault="00FF71A9" w:rsidP="00FF71A9">
      <w:pPr>
        <w:pStyle w:val="ListParagraph"/>
        <w:ind w:left="426"/>
        <w:rPr>
          <w:rFonts w:ascii="Arial" w:hAnsi="Arial" w:cs="Arial"/>
          <w:sz w:val="20"/>
          <w:szCs w:val="20"/>
        </w:rPr>
      </w:pPr>
    </w:p>
    <w:p w:rsidR="00B75202" w:rsidRDefault="00FF71A9">
      <w:pPr>
        <w:pStyle w:val="ListParagraph"/>
        <w:ind w:left="426"/>
        <w:rPr>
          <w:rFonts w:ascii="Arial" w:hAnsi="Arial" w:cs="Arial"/>
          <w:sz w:val="20"/>
          <w:szCs w:val="20"/>
        </w:rPr>
      </w:pPr>
      <w:r w:rsidRPr="00100E3D">
        <w:rPr>
          <w:rFonts w:ascii="Arial" w:hAnsi="Arial" w:cs="Arial"/>
          <w:sz w:val="20"/>
          <w:szCs w:val="20"/>
        </w:rPr>
        <w:t xml:space="preserve">The benefits of a coordinated approach to HTA was described, including the decrease in </w:t>
      </w:r>
      <w:r w:rsidR="00F67C92" w:rsidRPr="00100E3D">
        <w:rPr>
          <w:rFonts w:ascii="Arial" w:hAnsi="Arial" w:cs="Arial"/>
          <w:sz w:val="20"/>
          <w:szCs w:val="20"/>
        </w:rPr>
        <w:t>duplication on HTA assessments</w:t>
      </w:r>
      <w:r w:rsidRPr="00100E3D">
        <w:rPr>
          <w:rFonts w:ascii="Arial" w:hAnsi="Arial" w:cs="Arial"/>
          <w:sz w:val="20"/>
          <w:szCs w:val="20"/>
        </w:rPr>
        <w:t xml:space="preserve">, and the end result of consistency </w:t>
      </w:r>
      <w:r w:rsidR="00F67C92" w:rsidRPr="00100E3D">
        <w:rPr>
          <w:rFonts w:ascii="Arial" w:hAnsi="Arial" w:cs="Arial"/>
          <w:sz w:val="20"/>
          <w:szCs w:val="20"/>
        </w:rPr>
        <w:t>between different national HTA assessments</w:t>
      </w:r>
      <w:r w:rsidRPr="00100E3D">
        <w:rPr>
          <w:rFonts w:ascii="Arial" w:hAnsi="Arial" w:cs="Arial"/>
          <w:sz w:val="20"/>
          <w:szCs w:val="20"/>
        </w:rPr>
        <w:t xml:space="preserve">. However, </w:t>
      </w:r>
      <w:r w:rsidR="00265935">
        <w:rPr>
          <w:rFonts w:ascii="Arial" w:hAnsi="Arial" w:cs="Arial"/>
          <w:sz w:val="20"/>
          <w:szCs w:val="20"/>
        </w:rPr>
        <w:t xml:space="preserve">Wim noted </w:t>
      </w:r>
      <w:r w:rsidRPr="00100E3D">
        <w:rPr>
          <w:rFonts w:ascii="Arial" w:hAnsi="Arial" w:cs="Arial"/>
          <w:sz w:val="20"/>
          <w:szCs w:val="20"/>
        </w:rPr>
        <w:t xml:space="preserve">that whilst evidence evaluation </w:t>
      </w:r>
      <w:r w:rsidR="00D13B0F">
        <w:rPr>
          <w:rFonts w:ascii="Arial" w:hAnsi="Arial" w:cs="Arial"/>
          <w:sz w:val="20"/>
          <w:szCs w:val="20"/>
        </w:rPr>
        <w:t xml:space="preserve">can </w:t>
      </w:r>
      <w:r w:rsidRPr="00100E3D">
        <w:rPr>
          <w:rFonts w:ascii="Arial" w:hAnsi="Arial" w:cs="Arial"/>
          <w:sz w:val="20"/>
          <w:szCs w:val="20"/>
        </w:rPr>
        <w:t xml:space="preserve">be undertaken at the European level, decisions on reimbursement </w:t>
      </w:r>
      <w:r w:rsidR="00B6468E">
        <w:rPr>
          <w:rFonts w:ascii="Arial" w:hAnsi="Arial" w:cs="Arial"/>
          <w:sz w:val="20"/>
          <w:szCs w:val="20"/>
        </w:rPr>
        <w:t xml:space="preserve">should </w:t>
      </w:r>
      <w:r w:rsidRPr="00100E3D">
        <w:rPr>
          <w:rFonts w:ascii="Arial" w:hAnsi="Arial" w:cs="Arial"/>
          <w:sz w:val="20"/>
          <w:szCs w:val="20"/>
        </w:rPr>
        <w:t xml:space="preserve">be made on a national level. </w:t>
      </w:r>
    </w:p>
    <w:p w:rsidR="00FF71A9" w:rsidRPr="00100E3D" w:rsidRDefault="00FF71A9" w:rsidP="00C738B7">
      <w:pPr>
        <w:pStyle w:val="ListParagraph"/>
        <w:rPr>
          <w:rFonts w:ascii="Arial" w:hAnsi="Arial" w:cs="Arial"/>
          <w:sz w:val="20"/>
          <w:szCs w:val="20"/>
        </w:rPr>
      </w:pPr>
    </w:p>
    <w:p w:rsidR="00B75202" w:rsidRDefault="00FF71A9">
      <w:pPr>
        <w:pStyle w:val="ListParagraph"/>
        <w:ind w:left="426"/>
        <w:rPr>
          <w:rFonts w:ascii="Arial" w:hAnsi="Arial" w:cs="Arial"/>
          <w:sz w:val="20"/>
          <w:szCs w:val="20"/>
        </w:rPr>
      </w:pPr>
      <w:r w:rsidRPr="00100E3D">
        <w:rPr>
          <w:rFonts w:ascii="Arial" w:hAnsi="Arial" w:cs="Arial"/>
          <w:sz w:val="20"/>
          <w:szCs w:val="20"/>
        </w:rPr>
        <w:t>Wim described how The Netherlands has been active in three of the European pilots</w:t>
      </w:r>
      <w:r w:rsidR="00B6468E">
        <w:rPr>
          <w:rFonts w:ascii="Arial" w:hAnsi="Arial" w:cs="Arial"/>
          <w:sz w:val="20"/>
          <w:szCs w:val="20"/>
        </w:rPr>
        <w:t xml:space="preserve">: </w:t>
      </w:r>
      <w:r w:rsidR="00B6468E" w:rsidRPr="00B6468E">
        <w:rPr>
          <w:rFonts w:ascii="Arial" w:hAnsi="Arial" w:cs="Arial"/>
          <w:sz w:val="20"/>
          <w:szCs w:val="20"/>
          <w:lang w:val="da-DK"/>
        </w:rPr>
        <w:t>zostavax, canagliflozin and ramucirumab</w:t>
      </w:r>
      <w:r w:rsidRPr="00100E3D">
        <w:rPr>
          <w:rFonts w:ascii="Arial" w:hAnsi="Arial" w:cs="Arial"/>
          <w:sz w:val="20"/>
          <w:szCs w:val="20"/>
        </w:rPr>
        <w:t>.</w:t>
      </w:r>
      <w:r w:rsidR="00C738B7" w:rsidRPr="00100E3D">
        <w:rPr>
          <w:rFonts w:ascii="Arial" w:hAnsi="Arial" w:cs="Arial"/>
          <w:sz w:val="20"/>
          <w:szCs w:val="20"/>
        </w:rPr>
        <w:t xml:space="preserve"> </w:t>
      </w:r>
      <w:r w:rsidR="00B6468E" w:rsidRPr="00100E3D">
        <w:rPr>
          <w:rFonts w:ascii="Arial" w:hAnsi="Arial" w:cs="Arial"/>
          <w:sz w:val="20"/>
          <w:szCs w:val="20"/>
        </w:rPr>
        <w:t xml:space="preserve">In one of the pilots, The Netherlands had used an adapted version of a EUnetHTA report with positive feedback from the assessing body who reported a reduction in time to assess compared to the usual methodology. </w:t>
      </w:r>
      <w:r w:rsidR="00B6468E">
        <w:rPr>
          <w:rFonts w:ascii="Arial" w:hAnsi="Arial" w:cs="Arial"/>
          <w:sz w:val="20"/>
          <w:szCs w:val="20"/>
        </w:rPr>
        <w:t xml:space="preserve">Wim stressed the </w:t>
      </w:r>
      <w:r w:rsidR="00C738B7" w:rsidRPr="00100E3D">
        <w:rPr>
          <w:rFonts w:ascii="Arial" w:hAnsi="Arial" w:cs="Arial"/>
          <w:sz w:val="20"/>
          <w:szCs w:val="20"/>
        </w:rPr>
        <w:t xml:space="preserve">importance of trust, </w:t>
      </w:r>
      <w:r w:rsidR="0004050E" w:rsidRPr="00100E3D">
        <w:rPr>
          <w:rFonts w:ascii="Arial" w:hAnsi="Arial" w:cs="Arial"/>
          <w:sz w:val="20"/>
          <w:szCs w:val="20"/>
        </w:rPr>
        <w:t>whereby individual Member States may question the need to collaborate with others when their individual process and quality has already been established.</w:t>
      </w:r>
      <w:r w:rsidR="00B6468E">
        <w:rPr>
          <w:rFonts w:ascii="Arial" w:hAnsi="Arial" w:cs="Arial"/>
          <w:sz w:val="20"/>
          <w:szCs w:val="20"/>
        </w:rPr>
        <w:t xml:space="preserve"> Wim noted that with experience, there has been growing internal trust in the quality and consistency of the EUnetHTA REA reports.</w:t>
      </w:r>
      <w:r w:rsidR="0004050E" w:rsidRPr="00100E3D">
        <w:rPr>
          <w:rFonts w:ascii="Arial" w:hAnsi="Arial" w:cs="Arial"/>
          <w:sz w:val="20"/>
          <w:szCs w:val="20"/>
        </w:rPr>
        <w:t xml:space="preserve"> </w:t>
      </w:r>
    </w:p>
    <w:p w:rsidR="0004050E" w:rsidRPr="00100E3D" w:rsidRDefault="0004050E" w:rsidP="0004050E">
      <w:pPr>
        <w:pStyle w:val="ListParagraph"/>
        <w:rPr>
          <w:rFonts w:ascii="Arial" w:hAnsi="Arial" w:cs="Arial"/>
          <w:sz w:val="20"/>
          <w:szCs w:val="20"/>
        </w:rPr>
      </w:pPr>
    </w:p>
    <w:p w:rsidR="00B75202" w:rsidRDefault="0004050E">
      <w:pPr>
        <w:pStyle w:val="ListParagraph"/>
        <w:ind w:left="426"/>
        <w:rPr>
          <w:rFonts w:ascii="Arial" w:hAnsi="Arial" w:cs="Arial"/>
          <w:sz w:val="20"/>
          <w:szCs w:val="20"/>
        </w:rPr>
      </w:pPr>
      <w:r w:rsidRPr="00100E3D">
        <w:rPr>
          <w:rFonts w:ascii="Arial" w:hAnsi="Arial" w:cs="Arial"/>
          <w:sz w:val="20"/>
          <w:szCs w:val="20"/>
        </w:rPr>
        <w:t>Decision maker</w:t>
      </w:r>
      <w:r w:rsidR="00B6468E">
        <w:rPr>
          <w:rFonts w:ascii="Arial" w:hAnsi="Arial" w:cs="Arial"/>
          <w:sz w:val="20"/>
          <w:szCs w:val="20"/>
        </w:rPr>
        <w:t xml:space="preserve"> </w:t>
      </w:r>
      <w:r w:rsidRPr="00100E3D">
        <w:rPr>
          <w:rFonts w:ascii="Arial" w:hAnsi="Arial" w:cs="Arial"/>
          <w:sz w:val="20"/>
          <w:szCs w:val="20"/>
        </w:rPr>
        <w:t xml:space="preserve">support was cited as being critical to success </w:t>
      </w:r>
      <w:r w:rsidR="00B6468E">
        <w:rPr>
          <w:rFonts w:ascii="Arial" w:hAnsi="Arial" w:cs="Arial"/>
          <w:sz w:val="20"/>
          <w:szCs w:val="20"/>
        </w:rPr>
        <w:t xml:space="preserve">of </w:t>
      </w:r>
      <w:r w:rsidRPr="00100E3D">
        <w:rPr>
          <w:rFonts w:ascii="Arial" w:hAnsi="Arial" w:cs="Arial"/>
          <w:sz w:val="20"/>
          <w:szCs w:val="20"/>
        </w:rPr>
        <w:t xml:space="preserve">a </w:t>
      </w:r>
      <w:r w:rsidR="00B6468E">
        <w:rPr>
          <w:rFonts w:ascii="Arial" w:hAnsi="Arial" w:cs="Arial"/>
          <w:sz w:val="20"/>
          <w:szCs w:val="20"/>
        </w:rPr>
        <w:t xml:space="preserve">cooperative </w:t>
      </w:r>
      <w:r w:rsidRPr="00100E3D">
        <w:rPr>
          <w:rFonts w:ascii="Arial" w:hAnsi="Arial" w:cs="Arial"/>
          <w:sz w:val="20"/>
          <w:szCs w:val="20"/>
        </w:rPr>
        <w:t xml:space="preserve">European approach; </w:t>
      </w:r>
      <w:r w:rsidR="005D1DBC" w:rsidRPr="00100E3D">
        <w:rPr>
          <w:rFonts w:ascii="Arial" w:hAnsi="Arial" w:cs="Arial"/>
          <w:sz w:val="20"/>
          <w:szCs w:val="20"/>
        </w:rPr>
        <w:t>in the Netherlands there is explicit support from the Minister for Health for European reports.</w:t>
      </w:r>
      <w:r w:rsidR="00A2734F" w:rsidRPr="00100E3D">
        <w:rPr>
          <w:rFonts w:ascii="Arial" w:hAnsi="Arial" w:cs="Arial"/>
          <w:sz w:val="20"/>
          <w:szCs w:val="20"/>
        </w:rPr>
        <w:t xml:space="preserve"> In addition, </w:t>
      </w:r>
      <w:r w:rsidR="005D1DBC" w:rsidRPr="00100E3D">
        <w:rPr>
          <w:rFonts w:ascii="Arial" w:hAnsi="Arial" w:cs="Arial"/>
          <w:sz w:val="20"/>
          <w:szCs w:val="20"/>
        </w:rPr>
        <w:t>Wim highlighted the issue of country size in determining the approach and the fact that this will likely be driven b</w:t>
      </w:r>
      <w:r w:rsidR="00A2734F" w:rsidRPr="00100E3D">
        <w:rPr>
          <w:rFonts w:ascii="Arial" w:hAnsi="Arial" w:cs="Arial"/>
          <w:sz w:val="20"/>
          <w:szCs w:val="20"/>
        </w:rPr>
        <w:t>y</w:t>
      </w:r>
      <w:r w:rsidR="005D1DBC" w:rsidRPr="00100E3D">
        <w:rPr>
          <w:rFonts w:ascii="Arial" w:hAnsi="Arial" w:cs="Arial"/>
          <w:sz w:val="20"/>
          <w:szCs w:val="20"/>
        </w:rPr>
        <w:t xml:space="preserve"> the larger European countries. It was suggested t</w:t>
      </w:r>
      <w:r w:rsidR="00D13B0F">
        <w:rPr>
          <w:rFonts w:ascii="Arial" w:hAnsi="Arial" w:cs="Arial"/>
          <w:sz w:val="20"/>
          <w:szCs w:val="20"/>
        </w:rPr>
        <w:t>hat smaller countries should co</w:t>
      </w:r>
      <w:r w:rsidR="005D1DBC" w:rsidRPr="00100E3D">
        <w:rPr>
          <w:rFonts w:ascii="Arial" w:hAnsi="Arial" w:cs="Arial"/>
          <w:sz w:val="20"/>
          <w:szCs w:val="20"/>
        </w:rPr>
        <w:t>ordinate to provide a</w:t>
      </w:r>
      <w:r w:rsidR="00A2734F" w:rsidRPr="00100E3D">
        <w:rPr>
          <w:rFonts w:ascii="Arial" w:hAnsi="Arial" w:cs="Arial"/>
          <w:sz w:val="20"/>
          <w:szCs w:val="20"/>
        </w:rPr>
        <w:t xml:space="preserve"> stronger</w:t>
      </w:r>
      <w:r w:rsidR="005D1DBC" w:rsidRPr="00100E3D">
        <w:rPr>
          <w:rFonts w:ascii="Arial" w:hAnsi="Arial" w:cs="Arial"/>
          <w:sz w:val="20"/>
          <w:szCs w:val="20"/>
        </w:rPr>
        <w:t xml:space="preserve"> voice in conjunction with the larger countries. </w:t>
      </w:r>
    </w:p>
    <w:p w:rsidR="00BA32DD" w:rsidRDefault="00BA32DD" w:rsidP="00DE5E07">
      <w:pPr>
        <w:spacing w:after="0" w:line="240" w:lineRule="auto"/>
        <w:rPr>
          <w:rFonts w:ascii="Arial" w:hAnsi="Arial" w:cs="Arial"/>
          <w:b/>
        </w:rPr>
      </w:pPr>
    </w:p>
    <w:p w:rsidR="00D41AF1" w:rsidRPr="00100E3D" w:rsidRDefault="00D41AF1" w:rsidP="00D41AF1">
      <w:pPr>
        <w:rPr>
          <w:rFonts w:ascii="Arial" w:hAnsi="Arial" w:cs="Arial"/>
          <w:b/>
          <w:color w:val="00B0F0"/>
          <w:sz w:val="32"/>
          <w:szCs w:val="32"/>
        </w:rPr>
      </w:pPr>
      <w:r w:rsidRPr="00100E3D">
        <w:rPr>
          <w:rFonts w:ascii="Arial" w:hAnsi="Arial" w:cs="Arial"/>
          <w:b/>
          <w:color w:val="00B0F0"/>
          <w:sz w:val="32"/>
          <w:szCs w:val="32"/>
        </w:rPr>
        <w:t xml:space="preserve">Audience Question </w:t>
      </w:r>
    </w:p>
    <w:p w:rsidR="00D41AF1" w:rsidRPr="00100E3D" w:rsidRDefault="00D41AF1" w:rsidP="00D41AF1">
      <w:pPr>
        <w:rPr>
          <w:rFonts w:ascii="Arial" w:hAnsi="Arial" w:cs="Arial"/>
          <w:b/>
          <w:i/>
          <w:color w:val="00B0F0"/>
          <w:sz w:val="32"/>
          <w:szCs w:val="32"/>
        </w:rPr>
      </w:pPr>
      <w:r w:rsidRPr="00100E3D">
        <w:rPr>
          <w:rFonts w:ascii="Arial" w:hAnsi="Arial" w:cs="Arial"/>
          <w:b/>
          <w:i/>
          <w:color w:val="00B0F0"/>
          <w:sz w:val="32"/>
          <w:szCs w:val="32"/>
        </w:rPr>
        <w:t>“What do you think of a pan-European approach to HTA?”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417"/>
        <w:gridCol w:w="1503"/>
      </w:tblGrid>
      <w:tr w:rsidR="00D41AF1" w:rsidRPr="00100E3D" w:rsidTr="006A2BDA">
        <w:tc>
          <w:tcPr>
            <w:tcW w:w="6771" w:type="dxa"/>
            <w:tcBorders>
              <w:bottom w:val="dashSmallGap" w:sz="4" w:space="0" w:color="D9D9D9" w:themeColor="background1" w:themeShade="D9"/>
            </w:tcBorders>
          </w:tcPr>
          <w:p w:rsidR="00D41AF1" w:rsidRPr="00100E3D" w:rsidRDefault="00D41AF1" w:rsidP="006A2BDA">
            <w:pPr>
              <w:ind w:left="567"/>
              <w:rPr>
                <w:rFonts w:ascii="Arial" w:hAnsi="Arial" w:cs="Arial"/>
                <w:b/>
                <w:i/>
                <w:sz w:val="24"/>
                <w:szCs w:val="32"/>
              </w:rPr>
            </w:pPr>
            <w:r w:rsidRPr="00100E3D">
              <w:rPr>
                <w:rFonts w:ascii="Arial" w:hAnsi="Arial" w:cs="Arial"/>
                <w:b/>
                <w:i/>
                <w:sz w:val="24"/>
                <w:szCs w:val="32"/>
              </w:rPr>
              <w:t>Beneficial</w:t>
            </w:r>
          </w:p>
        </w:tc>
        <w:tc>
          <w:tcPr>
            <w:tcW w:w="1417" w:type="dxa"/>
            <w:tcBorders>
              <w:bottom w:val="dashSmallGap" w:sz="4" w:space="0" w:color="D9D9D9" w:themeColor="background1" w:themeShade="D9"/>
            </w:tcBorders>
          </w:tcPr>
          <w:p w:rsidR="00D41AF1" w:rsidRPr="00100E3D" w:rsidRDefault="00D41AF1" w:rsidP="006A2BDA">
            <w:pPr>
              <w:rPr>
                <w:rFonts w:ascii="Arial" w:hAnsi="Arial" w:cs="Arial"/>
                <w:b/>
                <w:sz w:val="32"/>
                <w:szCs w:val="32"/>
              </w:rPr>
            </w:pPr>
            <w:r w:rsidRPr="00100E3D">
              <w:rPr>
                <w:rFonts w:ascii="Arial" w:hAnsi="Arial" w:cs="Arial"/>
                <w:b/>
                <w:sz w:val="32"/>
                <w:szCs w:val="32"/>
              </w:rPr>
              <w:t>~80%</w:t>
            </w:r>
          </w:p>
        </w:tc>
        <w:tc>
          <w:tcPr>
            <w:tcW w:w="1503" w:type="dxa"/>
            <w:tcBorders>
              <w:bottom w:val="dashSmallGap" w:sz="4" w:space="0" w:color="D9D9D9" w:themeColor="background1" w:themeShade="D9"/>
            </w:tcBorders>
          </w:tcPr>
          <w:p w:rsidR="00D41AF1" w:rsidRPr="00100E3D" w:rsidRDefault="00D41AF1" w:rsidP="006A2BDA">
            <w:pPr>
              <w:rPr>
                <w:rFonts w:ascii="Arial" w:hAnsi="Arial" w:cs="Arial"/>
                <w:b/>
                <w:sz w:val="32"/>
                <w:szCs w:val="32"/>
              </w:rPr>
            </w:pPr>
            <w:r w:rsidRPr="008D20C9">
              <w:rPr>
                <w:rFonts w:ascii="Arial" w:hAnsi="Arial" w:cs="Arial"/>
                <w:b/>
                <w:noProof/>
                <w:sz w:val="32"/>
                <w:szCs w:val="32"/>
                <w:lang w:eastAsia="en-GB"/>
              </w:rPr>
              <w:drawing>
                <wp:inline distT="0" distB="0" distL="0" distR="0">
                  <wp:extent cx="270000" cy="265814"/>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 cy="265814"/>
                          </a:xfrm>
                          <a:prstGeom prst="rect">
                            <a:avLst/>
                          </a:prstGeom>
                        </pic:spPr>
                      </pic:pic>
                    </a:graphicData>
                  </a:graphic>
                </wp:inline>
              </w:drawing>
            </w:r>
          </w:p>
        </w:tc>
      </w:tr>
      <w:tr w:rsidR="00D41AF1" w:rsidRPr="00100E3D" w:rsidTr="006A2BDA">
        <w:tc>
          <w:tcPr>
            <w:tcW w:w="6771" w:type="dxa"/>
            <w:tcBorders>
              <w:top w:val="dashSmallGap" w:sz="4" w:space="0" w:color="D9D9D9" w:themeColor="background1" w:themeShade="D9"/>
              <w:bottom w:val="dashSmallGap" w:sz="4" w:space="0" w:color="D9D9D9" w:themeColor="background1" w:themeShade="D9"/>
            </w:tcBorders>
          </w:tcPr>
          <w:p w:rsidR="00D41AF1" w:rsidRPr="00100E3D" w:rsidRDefault="00D41AF1" w:rsidP="006A2BDA">
            <w:pPr>
              <w:ind w:left="567"/>
              <w:rPr>
                <w:rFonts w:ascii="Arial" w:hAnsi="Arial" w:cs="Arial"/>
                <w:b/>
                <w:i/>
                <w:sz w:val="24"/>
                <w:szCs w:val="32"/>
              </w:rPr>
            </w:pPr>
            <w:r w:rsidRPr="00100E3D">
              <w:rPr>
                <w:rFonts w:ascii="Arial" w:hAnsi="Arial" w:cs="Arial"/>
                <w:b/>
                <w:i/>
                <w:sz w:val="24"/>
                <w:szCs w:val="32"/>
              </w:rPr>
              <w:t>Leads to too much bureaucracy and technical complication</w:t>
            </w:r>
          </w:p>
        </w:tc>
        <w:tc>
          <w:tcPr>
            <w:tcW w:w="1417" w:type="dxa"/>
            <w:tcBorders>
              <w:top w:val="dashSmallGap" w:sz="4" w:space="0" w:color="D9D9D9" w:themeColor="background1" w:themeShade="D9"/>
              <w:bottom w:val="dashSmallGap" w:sz="4" w:space="0" w:color="D9D9D9" w:themeColor="background1" w:themeShade="D9"/>
            </w:tcBorders>
          </w:tcPr>
          <w:p w:rsidR="00D41AF1" w:rsidRPr="00100E3D" w:rsidRDefault="00D41AF1" w:rsidP="006A2BDA">
            <w:pPr>
              <w:rPr>
                <w:rFonts w:ascii="Arial" w:hAnsi="Arial" w:cs="Arial"/>
                <w:b/>
                <w:sz w:val="32"/>
                <w:szCs w:val="32"/>
              </w:rPr>
            </w:pPr>
            <w:r w:rsidRPr="00100E3D">
              <w:rPr>
                <w:rFonts w:ascii="Arial" w:hAnsi="Arial" w:cs="Arial"/>
                <w:b/>
                <w:sz w:val="32"/>
                <w:szCs w:val="32"/>
              </w:rPr>
              <w:t>~5%</w:t>
            </w:r>
          </w:p>
        </w:tc>
        <w:tc>
          <w:tcPr>
            <w:tcW w:w="1503" w:type="dxa"/>
            <w:tcBorders>
              <w:top w:val="dashSmallGap" w:sz="4" w:space="0" w:color="D9D9D9" w:themeColor="background1" w:themeShade="D9"/>
              <w:bottom w:val="dashSmallGap" w:sz="4" w:space="0" w:color="D9D9D9" w:themeColor="background1" w:themeShade="D9"/>
            </w:tcBorders>
          </w:tcPr>
          <w:p w:rsidR="00D41AF1" w:rsidRPr="00100E3D" w:rsidRDefault="00D41AF1" w:rsidP="006A2BDA">
            <w:pPr>
              <w:rPr>
                <w:rFonts w:ascii="Arial" w:hAnsi="Arial" w:cs="Arial"/>
                <w:b/>
                <w:sz w:val="32"/>
                <w:szCs w:val="32"/>
              </w:rPr>
            </w:pPr>
            <w:r w:rsidRPr="008D20C9">
              <w:rPr>
                <w:rFonts w:ascii="Arial" w:hAnsi="Arial" w:cs="Arial"/>
                <w:b/>
                <w:noProof/>
                <w:sz w:val="32"/>
                <w:szCs w:val="32"/>
                <w:lang w:eastAsia="en-GB"/>
              </w:rPr>
              <w:drawing>
                <wp:inline distT="0" distB="0" distL="0" distR="0">
                  <wp:extent cx="270000" cy="265814"/>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 cy="265814"/>
                          </a:xfrm>
                          <a:prstGeom prst="rect">
                            <a:avLst/>
                          </a:prstGeom>
                        </pic:spPr>
                      </pic:pic>
                    </a:graphicData>
                  </a:graphic>
                </wp:inline>
              </w:drawing>
            </w:r>
          </w:p>
        </w:tc>
      </w:tr>
      <w:tr w:rsidR="00D41AF1" w:rsidRPr="00100E3D" w:rsidTr="006A2BDA">
        <w:tc>
          <w:tcPr>
            <w:tcW w:w="6771" w:type="dxa"/>
            <w:tcBorders>
              <w:top w:val="dashSmallGap" w:sz="4" w:space="0" w:color="D9D9D9" w:themeColor="background1" w:themeShade="D9"/>
            </w:tcBorders>
          </w:tcPr>
          <w:p w:rsidR="00D41AF1" w:rsidRPr="00100E3D" w:rsidRDefault="00D41AF1" w:rsidP="006A2BDA">
            <w:pPr>
              <w:ind w:left="567"/>
              <w:rPr>
                <w:rFonts w:ascii="Arial" w:hAnsi="Arial" w:cs="Arial"/>
                <w:b/>
                <w:i/>
                <w:sz w:val="24"/>
                <w:szCs w:val="32"/>
              </w:rPr>
            </w:pPr>
            <w:r>
              <w:rPr>
                <w:rFonts w:ascii="Arial" w:hAnsi="Arial" w:cs="Arial"/>
                <w:b/>
                <w:i/>
                <w:sz w:val="24"/>
                <w:szCs w:val="32"/>
              </w:rPr>
              <w:t>No opinion/ unknown</w:t>
            </w:r>
          </w:p>
        </w:tc>
        <w:tc>
          <w:tcPr>
            <w:tcW w:w="1417" w:type="dxa"/>
            <w:tcBorders>
              <w:top w:val="dashSmallGap" w:sz="4" w:space="0" w:color="D9D9D9" w:themeColor="background1" w:themeShade="D9"/>
            </w:tcBorders>
          </w:tcPr>
          <w:p w:rsidR="00D41AF1" w:rsidRPr="00100E3D" w:rsidRDefault="00D41AF1" w:rsidP="006A2BDA">
            <w:pPr>
              <w:rPr>
                <w:rFonts w:ascii="Arial" w:hAnsi="Arial" w:cs="Arial"/>
                <w:b/>
                <w:sz w:val="32"/>
                <w:szCs w:val="32"/>
              </w:rPr>
            </w:pPr>
            <w:r>
              <w:rPr>
                <w:rFonts w:ascii="Arial" w:hAnsi="Arial" w:cs="Arial"/>
                <w:b/>
                <w:sz w:val="32"/>
                <w:szCs w:val="32"/>
              </w:rPr>
              <w:t>~15%</w:t>
            </w:r>
          </w:p>
        </w:tc>
        <w:tc>
          <w:tcPr>
            <w:tcW w:w="1503" w:type="dxa"/>
            <w:tcBorders>
              <w:top w:val="dashSmallGap" w:sz="4" w:space="0" w:color="D9D9D9" w:themeColor="background1" w:themeShade="D9"/>
            </w:tcBorders>
          </w:tcPr>
          <w:p w:rsidR="00D41AF1" w:rsidRPr="00100E3D" w:rsidRDefault="00D41AF1" w:rsidP="006A2BDA">
            <w:pPr>
              <w:rPr>
                <w:rFonts w:ascii="Arial" w:hAnsi="Arial" w:cs="Arial"/>
                <w:b/>
                <w:noProof/>
                <w:sz w:val="32"/>
                <w:szCs w:val="32"/>
                <w:lang w:eastAsia="en-GB"/>
              </w:rPr>
            </w:pPr>
            <w:r w:rsidRPr="00100E3D">
              <w:rPr>
                <w:rFonts w:ascii="Arial" w:hAnsi="Arial" w:cs="Arial"/>
                <w:b/>
                <w:noProof/>
                <w:sz w:val="32"/>
                <w:szCs w:val="32"/>
                <w:lang w:eastAsia="en-GB"/>
              </w:rPr>
              <w:drawing>
                <wp:inline distT="0" distB="0" distL="0" distR="0">
                  <wp:extent cx="281039" cy="270000"/>
                  <wp:effectExtent l="19050" t="0" r="4711" b="0"/>
                  <wp:docPr id="6" name="Picture 2"/>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039" cy="270000"/>
                          </a:xfrm>
                          <a:prstGeom prst="rect">
                            <a:avLst/>
                          </a:prstGeom>
                        </pic:spPr>
                      </pic:pic>
                    </a:graphicData>
                  </a:graphic>
                </wp:inline>
              </w:drawing>
            </w:r>
          </w:p>
        </w:tc>
      </w:tr>
    </w:tbl>
    <w:p w:rsidR="00D41AF1" w:rsidRDefault="00D41AF1" w:rsidP="00DE5E07">
      <w:pPr>
        <w:spacing w:after="0" w:line="240" w:lineRule="auto"/>
        <w:rPr>
          <w:rFonts w:ascii="Arial" w:hAnsi="Arial" w:cs="Arial"/>
          <w:b/>
        </w:rPr>
      </w:pPr>
    </w:p>
    <w:p w:rsidR="00D41AF1" w:rsidRPr="00100E3D" w:rsidRDefault="00D41AF1" w:rsidP="00DE5E07">
      <w:pPr>
        <w:spacing w:after="0" w:line="240" w:lineRule="auto"/>
        <w:rPr>
          <w:rFonts w:ascii="Arial" w:hAnsi="Arial" w:cs="Arial"/>
          <w:b/>
        </w:rPr>
      </w:pPr>
    </w:p>
    <w:p w:rsidR="00380384" w:rsidRPr="00100E3D" w:rsidRDefault="00272920" w:rsidP="00DE5E07">
      <w:pPr>
        <w:spacing w:after="0" w:line="240" w:lineRule="auto"/>
        <w:rPr>
          <w:rFonts w:ascii="Arial" w:hAnsi="Arial" w:cs="Arial"/>
          <w:b/>
          <w:color w:val="00B0F0"/>
          <w:sz w:val="32"/>
          <w:szCs w:val="32"/>
        </w:rPr>
      </w:pPr>
      <w:r w:rsidRPr="00100E3D">
        <w:rPr>
          <w:rFonts w:ascii="Arial" w:hAnsi="Arial" w:cs="Arial"/>
          <w:b/>
          <w:color w:val="00B0F0"/>
          <w:sz w:val="32"/>
          <w:szCs w:val="32"/>
        </w:rPr>
        <w:t>Discussion</w:t>
      </w:r>
      <w:r w:rsidR="00C738B7" w:rsidRPr="00100E3D">
        <w:rPr>
          <w:rFonts w:ascii="Arial" w:hAnsi="Arial" w:cs="Arial"/>
          <w:b/>
          <w:color w:val="00B0F0"/>
          <w:sz w:val="32"/>
          <w:szCs w:val="32"/>
        </w:rPr>
        <w:t xml:space="preserve"> Points</w:t>
      </w:r>
    </w:p>
    <w:p w:rsidR="00C738B7" w:rsidRPr="00100E3D" w:rsidRDefault="00C738B7" w:rsidP="00DE5E07">
      <w:pPr>
        <w:spacing w:after="0" w:line="240" w:lineRule="auto"/>
        <w:rPr>
          <w:rFonts w:ascii="Arial" w:hAnsi="Arial" w:cs="Arial"/>
          <w:b/>
          <w:color w:val="00B0F0"/>
          <w:sz w:val="20"/>
          <w:szCs w:val="20"/>
        </w:rPr>
      </w:pPr>
    </w:p>
    <w:p w:rsidR="00C738B7" w:rsidRPr="00100E3D" w:rsidRDefault="00C738B7" w:rsidP="00DE5E07">
      <w:pPr>
        <w:spacing w:after="0" w:line="240" w:lineRule="auto"/>
        <w:rPr>
          <w:rFonts w:ascii="Arial" w:hAnsi="Arial" w:cs="Arial"/>
          <w:sz w:val="20"/>
          <w:szCs w:val="20"/>
        </w:rPr>
      </w:pPr>
      <w:r w:rsidRPr="00100E3D">
        <w:rPr>
          <w:rFonts w:ascii="Arial" w:hAnsi="Arial" w:cs="Arial"/>
          <w:sz w:val="20"/>
          <w:szCs w:val="20"/>
        </w:rPr>
        <w:t xml:space="preserve">The Issues Panel stimulated questions and discussions related to a variety of themes. </w:t>
      </w:r>
    </w:p>
    <w:p w:rsidR="00380384" w:rsidRPr="00100E3D" w:rsidRDefault="00380384" w:rsidP="00DE5E07">
      <w:pPr>
        <w:spacing w:after="0" w:line="240" w:lineRule="auto"/>
        <w:rPr>
          <w:rFonts w:ascii="Arial" w:hAnsi="Arial" w:cs="Arial"/>
          <w:b/>
          <w:sz w:val="20"/>
          <w:szCs w:val="20"/>
        </w:rPr>
      </w:pPr>
    </w:p>
    <w:p w:rsidR="00380384" w:rsidRPr="00100E3D" w:rsidRDefault="00BC1481" w:rsidP="00DE5E07">
      <w:pPr>
        <w:spacing w:after="0" w:line="240" w:lineRule="auto"/>
        <w:rPr>
          <w:rFonts w:ascii="Arial" w:hAnsi="Arial" w:cs="Arial"/>
          <w:sz w:val="20"/>
          <w:szCs w:val="20"/>
        </w:rPr>
      </w:pPr>
      <w:r w:rsidRPr="00100E3D">
        <w:rPr>
          <w:rFonts w:ascii="Arial" w:hAnsi="Arial" w:cs="Arial"/>
          <w:sz w:val="20"/>
          <w:szCs w:val="20"/>
        </w:rPr>
        <w:t xml:space="preserve">Dr. </w:t>
      </w:r>
      <w:r w:rsidR="00E016AB" w:rsidRPr="00100E3D">
        <w:rPr>
          <w:rFonts w:ascii="Arial" w:hAnsi="Arial" w:cs="Arial"/>
          <w:sz w:val="20"/>
          <w:szCs w:val="20"/>
        </w:rPr>
        <w:t xml:space="preserve">Neha Rai, from Novartis, asked the panel about the </w:t>
      </w:r>
      <w:r w:rsidR="00E016AB" w:rsidRPr="00100E3D">
        <w:rPr>
          <w:rFonts w:ascii="Arial" w:hAnsi="Arial" w:cs="Arial"/>
          <w:b/>
          <w:sz w:val="20"/>
          <w:szCs w:val="20"/>
        </w:rPr>
        <w:t>role of biomarkers</w:t>
      </w:r>
      <w:r w:rsidR="00E016AB" w:rsidRPr="00100E3D">
        <w:rPr>
          <w:rFonts w:ascii="Arial" w:hAnsi="Arial" w:cs="Arial"/>
          <w:sz w:val="20"/>
          <w:szCs w:val="20"/>
        </w:rPr>
        <w:t xml:space="preserve"> in evidence evaluation, and whether they thought that </w:t>
      </w:r>
      <w:r w:rsidRPr="00422848">
        <w:rPr>
          <w:rFonts w:ascii="Arial" w:hAnsi="Arial" w:cs="Arial"/>
          <w:b/>
          <w:sz w:val="20"/>
          <w:szCs w:val="20"/>
        </w:rPr>
        <w:t>PROs</w:t>
      </w:r>
      <w:r w:rsidRPr="00100E3D">
        <w:rPr>
          <w:rFonts w:ascii="Arial" w:hAnsi="Arial" w:cs="Arial"/>
          <w:sz w:val="20"/>
          <w:szCs w:val="20"/>
        </w:rPr>
        <w:t xml:space="preserve"> </w:t>
      </w:r>
      <w:r w:rsidR="00E016AB" w:rsidRPr="00100E3D">
        <w:rPr>
          <w:rFonts w:ascii="Arial" w:hAnsi="Arial" w:cs="Arial"/>
          <w:sz w:val="20"/>
          <w:szCs w:val="20"/>
        </w:rPr>
        <w:t>should be considered at the country-level</w:t>
      </w:r>
      <w:r w:rsidR="007052A7" w:rsidRPr="00100E3D">
        <w:rPr>
          <w:rFonts w:ascii="Arial" w:hAnsi="Arial" w:cs="Arial"/>
          <w:sz w:val="20"/>
          <w:szCs w:val="20"/>
        </w:rPr>
        <w:t>. This opened up an interesting discussion:</w:t>
      </w:r>
    </w:p>
    <w:p w:rsidR="00BC1481" w:rsidRPr="00100E3D" w:rsidRDefault="00BC1481" w:rsidP="00DE5E07">
      <w:pPr>
        <w:spacing w:after="0" w:line="240" w:lineRule="auto"/>
        <w:rPr>
          <w:rFonts w:ascii="Arial" w:hAnsi="Arial" w:cs="Arial"/>
          <w:sz w:val="20"/>
          <w:szCs w:val="20"/>
        </w:rPr>
      </w:pPr>
    </w:p>
    <w:p w:rsidR="00BC1481" w:rsidRPr="00100E3D" w:rsidRDefault="00E016AB" w:rsidP="00BC1481">
      <w:pPr>
        <w:pStyle w:val="ListParagraph"/>
        <w:numPr>
          <w:ilvl w:val="0"/>
          <w:numId w:val="13"/>
        </w:numPr>
        <w:spacing w:after="0" w:line="240" w:lineRule="auto"/>
        <w:rPr>
          <w:rFonts w:ascii="Arial" w:hAnsi="Arial" w:cs="Arial"/>
          <w:sz w:val="20"/>
          <w:szCs w:val="20"/>
        </w:rPr>
      </w:pPr>
      <w:r w:rsidRPr="00100E3D">
        <w:rPr>
          <w:rFonts w:ascii="Arial" w:hAnsi="Arial" w:cs="Arial"/>
          <w:sz w:val="20"/>
          <w:szCs w:val="20"/>
        </w:rPr>
        <w:t xml:space="preserve">Wim discussed the EUnetHTA clinical guidelines regarding endpoints but highlighted that fact that there may be different interpretations across Europe; this is an area that still needs further work and exploration. </w:t>
      </w:r>
      <w:r w:rsidR="00BC1481" w:rsidRPr="00100E3D">
        <w:rPr>
          <w:rFonts w:ascii="Arial" w:hAnsi="Arial" w:cs="Arial"/>
          <w:sz w:val="20"/>
          <w:szCs w:val="20"/>
        </w:rPr>
        <w:t xml:space="preserve">The area of </w:t>
      </w:r>
      <w:r w:rsidR="00BC1481" w:rsidRPr="00100E3D">
        <w:rPr>
          <w:rFonts w:ascii="Arial" w:hAnsi="Arial" w:cs="Arial"/>
          <w:b/>
          <w:sz w:val="20"/>
          <w:szCs w:val="20"/>
        </w:rPr>
        <w:t>genomics and personalised medicine</w:t>
      </w:r>
      <w:r w:rsidR="00BC1481" w:rsidRPr="00100E3D">
        <w:rPr>
          <w:rFonts w:ascii="Arial" w:hAnsi="Arial" w:cs="Arial"/>
          <w:sz w:val="20"/>
          <w:szCs w:val="20"/>
        </w:rPr>
        <w:t xml:space="preserve"> </w:t>
      </w:r>
      <w:r w:rsidR="00BC1481" w:rsidRPr="005067C8">
        <w:rPr>
          <w:rFonts w:ascii="Arial" w:hAnsi="Arial" w:cs="Arial"/>
          <w:sz w:val="20"/>
          <w:szCs w:val="20"/>
        </w:rPr>
        <w:t>is growing an attracting great interest, but it seems to be provided investment by industry primarily now.</w:t>
      </w:r>
      <w:r w:rsidR="008D20C9" w:rsidRPr="005067C8">
        <w:rPr>
          <w:rFonts w:ascii="Arial" w:hAnsi="Arial" w:cs="Arial"/>
          <w:sz w:val="20"/>
          <w:szCs w:val="20"/>
        </w:rPr>
        <w:t xml:space="preserve"> Wim noted that the sub-population evaluation </w:t>
      </w:r>
      <w:r w:rsidR="009C42DD" w:rsidRPr="005067C8">
        <w:rPr>
          <w:rFonts w:ascii="Arial" w:hAnsi="Arial" w:cs="Arial"/>
          <w:sz w:val="20"/>
          <w:szCs w:val="20"/>
        </w:rPr>
        <w:t xml:space="preserve">was considered in the European pilot for </w:t>
      </w:r>
      <w:r w:rsidR="008D20C9" w:rsidRPr="005067C8">
        <w:rPr>
          <w:rFonts w:ascii="Arial" w:hAnsi="Arial" w:cs="Arial"/>
          <w:sz w:val="20"/>
          <w:szCs w:val="20"/>
        </w:rPr>
        <w:t xml:space="preserve">zostavax, </w:t>
      </w:r>
      <w:r w:rsidR="009C42DD" w:rsidRPr="005067C8">
        <w:rPr>
          <w:rFonts w:ascii="Arial" w:hAnsi="Arial" w:cs="Arial"/>
          <w:sz w:val="20"/>
          <w:szCs w:val="20"/>
        </w:rPr>
        <w:t xml:space="preserve">but concluded that sub-population </w:t>
      </w:r>
      <w:r w:rsidR="00BE7102" w:rsidRPr="005067C8">
        <w:rPr>
          <w:rFonts w:ascii="Arial" w:hAnsi="Arial" w:cs="Arial"/>
          <w:sz w:val="20"/>
          <w:szCs w:val="20"/>
        </w:rPr>
        <w:t xml:space="preserve">evaluation </w:t>
      </w:r>
      <w:r w:rsidR="009C42DD" w:rsidRPr="005067C8">
        <w:rPr>
          <w:rFonts w:ascii="Arial" w:hAnsi="Arial" w:cs="Arial"/>
          <w:sz w:val="20"/>
          <w:szCs w:val="20"/>
        </w:rPr>
        <w:t>may be difficult to conduct at a level higher than national.</w:t>
      </w:r>
    </w:p>
    <w:p w:rsidR="00BC1481" w:rsidRPr="00100E3D" w:rsidRDefault="00BC1481" w:rsidP="00DE5E07">
      <w:pPr>
        <w:spacing w:after="0" w:line="240" w:lineRule="auto"/>
        <w:rPr>
          <w:rFonts w:ascii="Arial" w:hAnsi="Arial" w:cs="Arial"/>
          <w:sz w:val="20"/>
          <w:szCs w:val="20"/>
        </w:rPr>
      </w:pPr>
    </w:p>
    <w:p w:rsidR="005067C8" w:rsidRDefault="00E016AB" w:rsidP="005067C8">
      <w:pPr>
        <w:pStyle w:val="ListParagraph"/>
        <w:numPr>
          <w:ilvl w:val="0"/>
          <w:numId w:val="13"/>
        </w:numPr>
        <w:spacing w:after="0" w:line="240" w:lineRule="auto"/>
        <w:rPr>
          <w:rFonts w:ascii="Arial" w:hAnsi="Arial" w:cs="Arial"/>
          <w:sz w:val="20"/>
          <w:szCs w:val="20"/>
        </w:rPr>
      </w:pPr>
      <w:r w:rsidRPr="00100E3D">
        <w:rPr>
          <w:rFonts w:ascii="Arial" w:hAnsi="Arial" w:cs="Arial"/>
          <w:sz w:val="20"/>
          <w:szCs w:val="20"/>
        </w:rPr>
        <w:t xml:space="preserve">Wim also discussed </w:t>
      </w:r>
      <w:r w:rsidRPr="00100E3D">
        <w:rPr>
          <w:rFonts w:ascii="Arial" w:hAnsi="Arial" w:cs="Arial"/>
          <w:b/>
          <w:sz w:val="20"/>
          <w:szCs w:val="20"/>
        </w:rPr>
        <w:t>quality of life</w:t>
      </w:r>
      <w:r w:rsidRPr="00100E3D">
        <w:rPr>
          <w:rFonts w:ascii="Arial" w:hAnsi="Arial" w:cs="Arial"/>
          <w:sz w:val="20"/>
          <w:szCs w:val="20"/>
        </w:rPr>
        <w:t xml:space="preserve"> data and how its interpretation and data quality can be mixed. This suggests there is further work and analysis required in this area. Jacco agreed with this suggestion and confirmed the view that there </w:t>
      </w:r>
      <w:r w:rsidR="00014B53">
        <w:rPr>
          <w:rFonts w:ascii="Arial" w:hAnsi="Arial" w:cs="Arial"/>
          <w:sz w:val="20"/>
          <w:szCs w:val="20"/>
        </w:rPr>
        <w:t xml:space="preserve">can be substantial </w:t>
      </w:r>
      <w:r w:rsidRPr="00100E3D">
        <w:rPr>
          <w:rFonts w:ascii="Arial" w:hAnsi="Arial" w:cs="Arial"/>
          <w:sz w:val="20"/>
          <w:szCs w:val="20"/>
        </w:rPr>
        <w:t xml:space="preserve">variation in the </w:t>
      </w:r>
      <w:r w:rsidR="00BC1481" w:rsidRPr="00100E3D">
        <w:rPr>
          <w:rFonts w:ascii="Arial" w:hAnsi="Arial" w:cs="Arial"/>
          <w:sz w:val="20"/>
          <w:szCs w:val="20"/>
        </w:rPr>
        <w:t xml:space="preserve">consideration of PROs and quality of life data in HTA. He cited the German example as being the most extreme in not using these data in evaluation. The importance of collecting high quality PROs, QoL measures and functional outcomes was emphasised: these are the measures that translate into what determines how a patient will function better in their real life.  </w:t>
      </w:r>
    </w:p>
    <w:p w:rsidR="005067C8" w:rsidRPr="005067C8" w:rsidRDefault="005067C8" w:rsidP="005067C8">
      <w:pPr>
        <w:pStyle w:val="ListParagraph"/>
        <w:rPr>
          <w:rFonts w:ascii="Arial" w:hAnsi="Arial" w:cs="Arial"/>
          <w:sz w:val="20"/>
          <w:szCs w:val="20"/>
          <w:highlight w:val="yellow"/>
        </w:rPr>
      </w:pPr>
    </w:p>
    <w:p w:rsidR="00B7228B" w:rsidRPr="00D41AF1" w:rsidRDefault="00FE44FB" w:rsidP="00B7228B">
      <w:pPr>
        <w:pStyle w:val="ListParagraph"/>
        <w:numPr>
          <w:ilvl w:val="0"/>
          <w:numId w:val="13"/>
        </w:numPr>
        <w:spacing w:after="0" w:line="240" w:lineRule="auto"/>
        <w:rPr>
          <w:rFonts w:ascii="Arial" w:hAnsi="Arial" w:cs="Arial"/>
          <w:sz w:val="20"/>
          <w:szCs w:val="20"/>
        </w:rPr>
      </w:pPr>
      <w:r w:rsidRPr="005067C8">
        <w:rPr>
          <w:rFonts w:ascii="Arial" w:hAnsi="Arial" w:cs="Arial"/>
          <w:sz w:val="20"/>
          <w:szCs w:val="20"/>
        </w:rPr>
        <w:t xml:space="preserve">It was agreed that the </w:t>
      </w:r>
      <w:r w:rsidRPr="00B513F6">
        <w:rPr>
          <w:rFonts w:ascii="Arial" w:hAnsi="Arial" w:cs="Arial"/>
          <w:b/>
          <w:sz w:val="20"/>
          <w:szCs w:val="20"/>
        </w:rPr>
        <w:t>patient perspective</w:t>
      </w:r>
      <w:r w:rsidRPr="005067C8">
        <w:rPr>
          <w:rFonts w:ascii="Arial" w:hAnsi="Arial" w:cs="Arial"/>
          <w:sz w:val="20"/>
          <w:szCs w:val="20"/>
        </w:rPr>
        <w:t xml:space="preserve"> is extremely valuable and should be considered in HTA evaluation, however, Andrea suggested that </w:t>
      </w:r>
      <w:r w:rsidRPr="00B513F6">
        <w:rPr>
          <w:rFonts w:ascii="Arial" w:hAnsi="Arial" w:cs="Arial"/>
          <w:b/>
          <w:sz w:val="20"/>
          <w:szCs w:val="20"/>
        </w:rPr>
        <w:t xml:space="preserve">PROs </w:t>
      </w:r>
      <w:r w:rsidRPr="005067C8">
        <w:rPr>
          <w:rFonts w:ascii="Arial" w:hAnsi="Arial" w:cs="Arial"/>
          <w:sz w:val="20"/>
          <w:szCs w:val="20"/>
        </w:rPr>
        <w:t xml:space="preserve">collected from a clinical trial may not fully reflect the real patient experience. This idea was further confirmed by Wim who noted that patient groups have advocated further development of PRO instruments, as they currently may not fully reflect what is important and impactful to the patient. Thus, the importance of developing or using appropriate tools and using innovative data collection methodologies to obtain high quality PROs, QoL measures and functional outcomes was emphasised. Innovative ways to gather data, such as social media data collection and other </w:t>
      </w:r>
      <w:r w:rsidR="0061555A">
        <w:rPr>
          <w:rFonts w:ascii="Arial" w:hAnsi="Arial" w:cs="Arial"/>
          <w:sz w:val="20"/>
          <w:szCs w:val="20"/>
        </w:rPr>
        <w:t xml:space="preserve">RWE </w:t>
      </w:r>
      <w:r w:rsidRPr="005067C8">
        <w:rPr>
          <w:rFonts w:ascii="Arial" w:hAnsi="Arial" w:cs="Arial"/>
          <w:sz w:val="20"/>
          <w:szCs w:val="20"/>
        </w:rPr>
        <w:t>should be utilised to best capture the true patient experience. It was felt that a more coordinated approach to collecting these data is required, thus, this is an important area to consider in HTA cooperation.</w:t>
      </w:r>
    </w:p>
    <w:sectPr w:rsidR="00B7228B" w:rsidRPr="00D41AF1" w:rsidSect="00F1400C">
      <w:headerReference w:type="default" r:id="rId13"/>
      <w:footerReference w:type="default" r:id="rId14"/>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8A8" w:rsidRDefault="002268A8" w:rsidP="00375C0C">
      <w:pPr>
        <w:spacing w:after="0" w:line="240" w:lineRule="auto"/>
      </w:pPr>
      <w:r>
        <w:separator/>
      </w:r>
    </w:p>
  </w:endnote>
  <w:endnote w:type="continuationSeparator" w:id="0">
    <w:p w:rsidR="002268A8" w:rsidRDefault="002268A8" w:rsidP="00375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09288"/>
      <w:docPartObj>
        <w:docPartGallery w:val="Page Numbers (Bottom of Page)"/>
        <w:docPartUnique/>
      </w:docPartObj>
    </w:sdtPr>
    <w:sdtEndPr/>
    <w:sdtContent>
      <w:p w:rsidR="00D5384E" w:rsidRDefault="002268A8">
        <w:pPr>
          <w:pStyle w:val="Footer"/>
          <w:jc w:val="right"/>
        </w:pPr>
        <w:r>
          <w:fldChar w:fldCharType="begin"/>
        </w:r>
        <w:r>
          <w:instrText xml:space="preserve"> PAGE   \* MERGEFORMAT </w:instrText>
        </w:r>
        <w:r>
          <w:fldChar w:fldCharType="separate"/>
        </w:r>
        <w:r w:rsidR="00F403E3">
          <w:rPr>
            <w:noProof/>
          </w:rPr>
          <w:t>1</w:t>
        </w:r>
        <w:r>
          <w:rPr>
            <w:noProof/>
          </w:rPr>
          <w:fldChar w:fldCharType="end"/>
        </w:r>
      </w:p>
    </w:sdtContent>
  </w:sdt>
  <w:p w:rsidR="001C0299" w:rsidRDefault="001C02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8A8" w:rsidRDefault="002268A8" w:rsidP="00375C0C">
      <w:pPr>
        <w:spacing w:after="0" w:line="240" w:lineRule="auto"/>
      </w:pPr>
      <w:r>
        <w:separator/>
      </w:r>
    </w:p>
  </w:footnote>
  <w:footnote w:type="continuationSeparator" w:id="0">
    <w:p w:rsidR="002268A8" w:rsidRDefault="002268A8" w:rsidP="00375C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C0C" w:rsidRDefault="00BC1481">
    <w:pPr>
      <w:pStyle w:val="Header"/>
    </w:pPr>
    <w:r>
      <w:rPr>
        <w:noProof/>
        <w:lang w:eastAsia="en-GB"/>
      </w:rPr>
      <w:drawing>
        <wp:anchor distT="0" distB="0" distL="114300" distR="114300" simplePos="0" relativeHeight="251660288" behindDoc="0" locked="0" layoutInCell="1" allowOverlap="1">
          <wp:simplePos x="0" y="0"/>
          <wp:positionH relativeFrom="margin">
            <wp:posOffset>2762250</wp:posOffset>
          </wp:positionH>
          <wp:positionV relativeFrom="margin">
            <wp:posOffset>-819150</wp:posOffset>
          </wp:positionV>
          <wp:extent cx="1924050" cy="70485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24050" cy="7048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0" locked="0" layoutInCell="1" allowOverlap="1">
          <wp:simplePos x="0" y="0"/>
          <wp:positionH relativeFrom="column">
            <wp:posOffset>4686300</wp:posOffset>
          </wp:positionH>
          <wp:positionV relativeFrom="paragraph">
            <wp:posOffset>-240030</wp:posOffset>
          </wp:positionV>
          <wp:extent cx="1649730" cy="457200"/>
          <wp:effectExtent l="19050" t="0" r="7620" b="0"/>
          <wp:wrapSquare wrapText="bothSides"/>
          <wp:docPr id="4" name="Picture 1" descr="IMSHlogo_CMYK_TM_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SHlogo_CMYK_TM_IA"/>
                  <pic:cNvPicPr>
                    <a:picLocks noChangeAspect="1" noChangeArrowheads="1"/>
                  </pic:cNvPicPr>
                </pic:nvPicPr>
                <pic:blipFill>
                  <a:blip r:embed="rId2"/>
                  <a:srcRect/>
                  <a:stretch>
                    <a:fillRect/>
                  </a:stretch>
                </pic:blipFill>
                <pic:spPr bwMode="auto">
                  <a:xfrm>
                    <a:off x="0" y="0"/>
                    <a:ext cx="1649730" cy="457200"/>
                  </a:xfrm>
                  <a:prstGeom prst="rect">
                    <a:avLst/>
                  </a:prstGeom>
                  <a:noFill/>
                </pic:spPr>
              </pic:pic>
            </a:graphicData>
          </a:graphic>
        </wp:anchor>
      </w:drawing>
    </w:r>
    <w:r w:rsidR="002268A8">
      <w:rPr>
        <w:noProof/>
        <w:lang w:eastAsia="en-GB"/>
      </w:rPr>
      <w:pict>
        <v:line id="_x0000_s2049" style="position:absolute;flip:y;z-index:251661312;mso-position-horizontal-relative:text;mso-position-vertical-relative:text" from="-11.95pt,29.75pt" to="483.6pt,29.75pt" strokecolor="#0092cf" strokeweight=".2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796"/>
    <w:multiLevelType w:val="hybridMultilevel"/>
    <w:tmpl w:val="D3B8AF70"/>
    <w:lvl w:ilvl="0" w:tplc="094ADF84">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660BE8"/>
    <w:multiLevelType w:val="hybridMultilevel"/>
    <w:tmpl w:val="40A2EA72"/>
    <w:lvl w:ilvl="0" w:tplc="C60C30D2">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0E31AA"/>
    <w:multiLevelType w:val="hybridMultilevel"/>
    <w:tmpl w:val="F0C699C4"/>
    <w:lvl w:ilvl="0" w:tplc="8E865706">
      <w:start w:val="1"/>
      <w:numFmt w:val="bullet"/>
      <w:lvlText w:val="•"/>
      <w:lvlJc w:val="left"/>
      <w:pPr>
        <w:tabs>
          <w:tab w:val="num" w:pos="720"/>
        </w:tabs>
        <w:ind w:left="720" w:hanging="360"/>
      </w:pPr>
      <w:rPr>
        <w:rFonts w:ascii="Arial" w:hAnsi="Arial" w:hint="default"/>
      </w:rPr>
    </w:lvl>
    <w:lvl w:ilvl="1" w:tplc="D4D0BCAE" w:tentative="1">
      <w:start w:val="1"/>
      <w:numFmt w:val="bullet"/>
      <w:lvlText w:val="•"/>
      <w:lvlJc w:val="left"/>
      <w:pPr>
        <w:tabs>
          <w:tab w:val="num" w:pos="1440"/>
        </w:tabs>
        <w:ind w:left="1440" w:hanging="360"/>
      </w:pPr>
      <w:rPr>
        <w:rFonts w:ascii="Arial" w:hAnsi="Arial" w:hint="default"/>
      </w:rPr>
    </w:lvl>
    <w:lvl w:ilvl="2" w:tplc="135C0E26" w:tentative="1">
      <w:start w:val="1"/>
      <w:numFmt w:val="bullet"/>
      <w:lvlText w:val="•"/>
      <w:lvlJc w:val="left"/>
      <w:pPr>
        <w:tabs>
          <w:tab w:val="num" w:pos="2160"/>
        </w:tabs>
        <w:ind w:left="2160" w:hanging="360"/>
      </w:pPr>
      <w:rPr>
        <w:rFonts w:ascii="Arial" w:hAnsi="Arial" w:hint="default"/>
      </w:rPr>
    </w:lvl>
    <w:lvl w:ilvl="3" w:tplc="2542DFCA" w:tentative="1">
      <w:start w:val="1"/>
      <w:numFmt w:val="bullet"/>
      <w:lvlText w:val="•"/>
      <w:lvlJc w:val="left"/>
      <w:pPr>
        <w:tabs>
          <w:tab w:val="num" w:pos="2880"/>
        </w:tabs>
        <w:ind w:left="2880" w:hanging="360"/>
      </w:pPr>
      <w:rPr>
        <w:rFonts w:ascii="Arial" w:hAnsi="Arial" w:hint="default"/>
      </w:rPr>
    </w:lvl>
    <w:lvl w:ilvl="4" w:tplc="FAAADFFE" w:tentative="1">
      <w:start w:val="1"/>
      <w:numFmt w:val="bullet"/>
      <w:lvlText w:val="•"/>
      <w:lvlJc w:val="left"/>
      <w:pPr>
        <w:tabs>
          <w:tab w:val="num" w:pos="3600"/>
        </w:tabs>
        <w:ind w:left="3600" w:hanging="360"/>
      </w:pPr>
      <w:rPr>
        <w:rFonts w:ascii="Arial" w:hAnsi="Arial" w:hint="default"/>
      </w:rPr>
    </w:lvl>
    <w:lvl w:ilvl="5" w:tplc="AD1A35EC" w:tentative="1">
      <w:start w:val="1"/>
      <w:numFmt w:val="bullet"/>
      <w:lvlText w:val="•"/>
      <w:lvlJc w:val="left"/>
      <w:pPr>
        <w:tabs>
          <w:tab w:val="num" w:pos="4320"/>
        </w:tabs>
        <w:ind w:left="4320" w:hanging="360"/>
      </w:pPr>
      <w:rPr>
        <w:rFonts w:ascii="Arial" w:hAnsi="Arial" w:hint="default"/>
      </w:rPr>
    </w:lvl>
    <w:lvl w:ilvl="6" w:tplc="ECCA7FFE" w:tentative="1">
      <w:start w:val="1"/>
      <w:numFmt w:val="bullet"/>
      <w:lvlText w:val="•"/>
      <w:lvlJc w:val="left"/>
      <w:pPr>
        <w:tabs>
          <w:tab w:val="num" w:pos="5040"/>
        </w:tabs>
        <w:ind w:left="5040" w:hanging="360"/>
      </w:pPr>
      <w:rPr>
        <w:rFonts w:ascii="Arial" w:hAnsi="Arial" w:hint="default"/>
      </w:rPr>
    </w:lvl>
    <w:lvl w:ilvl="7" w:tplc="9F7602CA" w:tentative="1">
      <w:start w:val="1"/>
      <w:numFmt w:val="bullet"/>
      <w:lvlText w:val="•"/>
      <w:lvlJc w:val="left"/>
      <w:pPr>
        <w:tabs>
          <w:tab w:val="num" w:pos="5760"/>
        </w:tabs>
        <w:ind w:left="5760" w:hanging="360"/>
      </w:pPr>
      <w:rPr>
        <w:rFonts w:ascii="Arial" w:hAnsi="Arial" w:hint="default"/>
      </w:rPr>
    </w:lvl>
    <w:lvl w:ilvl="8" w:tplc="6F58DEB6" w:tentative="1">
      <w:start w:val="1"/>
      <w:numFmt w:val="bullet"/>
      <w:lvlText w:val="•"/>
      <w:lvlJc w:val="left"/>
      <w:pPr>
        <w:tabs>
          <w:tab w:val="num" w:pos="6480"/>
        </w:tabs>
        <w:ind w:left="6480" w:hanging="360"/>
      </w:pPr>
      <w:rPr>
        <w:rFonts w:ascii="Arial" w:hAnsi="Arial" w:hint="default"/>
      </w:rPr>
    </w:lvl>
  </w:abstractNum>
  <w:abstractNum w:abstractNumId="3">
    <w:nsid w:val="058159B2"/>
    <w:multiLevelType w:val="hybridMultilevel"/>
    <w:tmpl w:val="41360404"/>
    <w:lvl w:ilvl="0" w:tplc="5C8251B6">
      <w:start w:val="1"/>
      <w:numFmt w:val="bullet"/>
      <w:lvlText w:val=""/>
      <w:lvlJc w:val="left"/>
      <w:pPr>
        <w:ind w:left="1440" w:hanging="360"/>
      </w:pPr>
      <w:rPr>
        <w:rFonts w:ascii="Symbol" w:hAnsi="Symbol" w:hint="default"/>
        <w:color w:val="00B0F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5E3056D"/>
    <w:multiLevelType w:val="hybridMultilevel"/>
    <w:tmpl w:val="FE302D12"/>
    <w:lvl w:ilvl="0" w:tplc="2808202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C537DB"/>
    <w:multiLevelType w:val="hybridMultilevel"/>
    <w:tmpl w:val="14F8C71A"/>
    <w:lvl w:ilvl="0" w:tplc="5C8251B6">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7F4DB2"/>
    <w:multiLevelType w:val="hybridMultilevel"/>
    <w:tmpl w:val="F2461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DF019B"/>
    <w:multiLevelType w:val="hybridMultilevel"/>
    <w:tmpl w:val="ABEC2574"/>
    <w:lvl w:ilvl="0" w:tplc="3E083380">
      <w:start w:val="1"/>
      <w:numFmt w:val="bullet"/>
      <w:lvlText w:val="•"/>
      <w:lvlJc w:val="left"/>
      <w:pPr>
        <w:tabs>
          <w:tab w:val="num" w:pos="720"/>
        </w:tabs>
        <w:ind w:left="720" w:hanging="360"/>
      </w:pPr>
      <w:rPr>
        <w:rFonts w:ascii="Arial" w:hAnsi="Arial" w:hint="default"/>
      </w:rPr>
    </w:lvl>
    <w:lvl w:ilvl="1" w:tplc="13A04062" w:tentative="1">
      <w:start w:val="1"/>
      <w:numFmt w:val="bullet"/>
      <w:lvlText w:val="•"/>
      <w:lvlJc w:val="left"/>
      <w:pPr>
        <w:tabs>
          <w:tab w:val="num" w:pos="1440"/>
        </w:tabs>
        <w:ind w:left="1440" w:hanging="360"/>
      </w:pPr>
      <w:rPr>
        <w:rFonts w:ascii="Arial" w:hAnsi="Arial" w:hint="default"/>
      </w:rPr>
    </w:lvl>
    <w:lvl w:ilvl="2" w:tplc="7EEA7B66" w:tentative="1">
      <w:start w:val="1"/>
      <w:numFmt w:val="bullet"/>
      <w:lvlText w:val="•"/>
      <w:lvlJc w:val="left"/>
      <w:pPr>
        <w:tabs>
          <w:tab w:val="num" w:pos="2160"/>
        </w:tabs>
        <w:ind w:left="2160" w:hanging="360"/>
      </w:pPr>
      <w:rPr>
        <w:rFonts w:ascii="Arial" w:hAnsi="Arial" w:hint="default"/>
      </w:rPr>
    </w:lvl>
    <w:lvl w:ilvl="3" w:tplc="53D8095E" w:tentative="1">
      <w:start w:val="1"/>
      <w:numFmt w:val="bullet"/>
      <w:lvlText w:val="•"/>
      <w:lvlJc w:val="left"/>
      <w:pPr>
        <w:tabs>
          <w:tab w:val="num" w:pos="2880"/>
        </w:tabs>
        <w:ind w:left="2880" w:hanging="360"/>
      </w:pPr>
      <w:rPr>
        <w:rFonts w:ascii="Arial" w:hAnsi="Arial" w:hint="default"/>
      </w:rPr>
    </w:lvl>
    <w:lvl w:ilvl="4" w:tplc="D728BF2A" w:tentative="1">
      <w:start w:val="1"/>
      <w:numFmt w:val="bullet"/>
      <w:lvlText w:val="•"/>
      <w:lvlJc w:val="left"/>
      <w:pPr>
        <w:tabs>
          <w:tab w:val="num" w:pos="3600"/>
        </w:tabs>
        <w:ind w:left="3600" w:hanging="360"/>
      </w:pPr>
      <w:rPr>
        <w:rFonts w:ascii="Arial" w:hAnsi="Arial" w:hint="default"/>
      </w:rPr>
    </w:lvl>
    <w:lvl w:ilvl="5" w:tplc="293C360A" w:tentative="1">
      <w:start w:val="1"/>
      <w:numFmt w:val="bullet"/>
      <w:lvlText w:val="•"/>
      <w:lvlJc w:val="left"/>
      <w:pPr>
        <w:tabs>
          <w:tab w:val="num" w:pos="4320"/>
        </w:tabs>
        <w:ind w:left="4320" w:hanging="360"/>
      </w:pPr>
      <w:rPr>
        <w:rFonts w:ascii="Arial" w:hAnsi="Arial" w:hint="default"/>
      </w:rPr>
    </w:lvl>
    <w:lvl w:ilvl="6" w:tplc="A6C8C258" w:tentative="1">
      <w:start w:val="1"/>
      <w:numFmt w:val="bullet"/>
      <w:lvlText w:val="•"/>
      <w:lvlJc w:val="left"/>
      <w:pPr>
        <w:tabs>
          <w:tab w:val="num" w:pos="5040"/>
        </w:tabs>
        <w:ind w:left="5040" w:hanging="360"/>
      </w:pPr>
      <w:rPr>
        <w:rFonts w:ascii="Arial" w:hAnsi="Arial" w:hint="default"/>
      </w:rPr>
    </w:lvl>
    <w:lvl w:ilvl="7" w:tplc="2A46128E" w:tentative="1">
      <w:start w:val="1"/>
      <w:numFmt w:val="bullet"/>
      <w:lvlText w:val="•"/>
      <w:lvlJc w:val="left"/>
      <w:pPr>
        <w:tabs>
          <w:tab w:val="num" w:pos="5760"/>
        </w:tabs>
        <w:ind w:left="5760" w:hanging="360"/>
      </w:pPr>
      <w:rPr>
        <w:rFonts w:ascii="Arial" w:hAnsi="Arial" w:hint="default"/>
      </w:rPr>
    </w:lvl>
    <w:lvl w:ilvl="8" w:tplc="2AB48E74" w:tentative="1">
      <w:start w:val="1"/>
      <w:numFmt w:val="bullet"/>
      <w:lvlText w:val="•"/>
      <w:lvlJc w:val="left"/>
      <w:pPr>
        <w:tabs>
          <w:tab w:val="num" w:pos="6480"/>
        </w:tabs>
        <w:ind w:left="6480" w:hanging="360"/>
      </w:pPr>
      <w:rPr>
        <w:rFonts w:ascii="Arial" w:hAnsi="Arial" w:hint="default"/>
      </w:rPr>
    </w:lvl>
  </w:abstractNum>
  <w:abstractNum w:abstractNumId="8">
    <w:nsid w:val="2408052D"/>
    <w:multiLevelType w:val="hybridMultilevel"/>
    <w:tmpl w:val="75A4A604"/>
    <w:lvl w:ilvl="0" w:tplc="5C8251B6">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83573B"/>
    <w:multiLevelType w:val="hybridMultilevel"/>
    <w:tmpl w:val="58E48F40"/>
    <w:lvl w:ilvl="0" w:tplc="2250CB96">
      <w:start w:val="1"/>
      <w:numFmt w:val="bullet"/>
      <w:lvlText w:val="–"/>
      <w:lvlJc w:val="left"/>
      <w:pPr>
        <w:tabs>
          <w:tab w:val="num" w:pos="720"/>
        </w:tabs>
        <w:ind w:left="720" w:hanging="360"/>
      </w:pPr>
      <w:rPr>
        <w:rFonts w:ascii="Verdana" w:hAnsi="Verdana" w:hint="default"/>
      </w:rPr>
    </w:lvl>
    <w:lvl w:ilvl="1" w:tplc="AF22530E">
      <w:start w:val="1"/>
      <w:numFmt w:val="bullet"/>
      <w:lvlText w:val="–"/>
      <w:lvlJc w:val="left"/>
      <w:pPr>
        <w:tabs>
          <w:tab w:val="num" w:pos="1440"/>
        </w:tabs>
        <w:ind w:left="1440" w:hanging="360"/>
      </w:pPr>
      <w:rPr>
        <w:rFonts w:ascii="Verdana" w:hAnsi="Verdana" w:hint="default"/>
      </w:rPr>
    </w:lvl>
    <w:lvl w:ilvl="2" w:tplc="CF5A6512" w:tentative="1">
      <w:start w:val="1"/>
      <w:numFmt w:val="bullet"/>
      <w:lvlText w:val="–"/>
      <w:lvlJc w:val="left"/>
      <w:pPr>
        <w:tabs>
          <w:tab w:val="num" w:pos="2160"/>
        </w:tabs>
        <w:ind w:left="2160" w:hanging="360"/>
      </w:pPr>
      <w:rPr>
        <w:rFonts w:ascii="Verdana" w:hAnsi="Verdana" w:hint="default"/>
      </w:rPr>
    </w:lvl>
    <w:lvl w:ilvl="3" w:tplc="0074C70E" w:tentative="1">
      <w:start w:val="1"/>
      <w:numFmt w:val="bullet"/>
      <w:lvlText w:val="–"/>
      <w:lvlJc w:val="left"/>
      <w:pPr>
        <w:tabs>
          <w:tab w:val="num" w:pos="2880"/>
        </w:tabs>
        <w:ind w:left="2880" w:hanging="360"/>
      </w:pPr>
      <w:rPr>
        <w:rFonts w:ascii="Verdana" w:hAnsi="Verdana" w:hint="default"/>
      </w:rPr>
    </w:lvl>
    <w:lvl w:ilvl="4" w:tplc="13E244F2" w:tentative="1">
      <w:start w:val="1"/>
      <w:numFmt w:val="bullet"/>
      <w:lvlText w:val="–"/>
      <w:lvlJc w:val="left"/>
      <w:pPr>
        <w:tabs>
          <w:tab w:val="num" w:pos="3600"/>
        </w:tabs>
        <w:ind w:left="3600" w:hanging="360"/>
      </w:pPr>
      <w:rPr>
        <w:rFonts w:ascii="Verdana" w:hAnsi="Verdana" w:hint="default"/>
      </w:rPr>
    </w:lvl>
    <w:lvl w:ilvl="5" w:tplc="7F08E1F6" w:tentative="1">
      <w:start w:val="1"/>
      <w:numFmt w:val="bullet"/>
      <w:lvlText w:val="–"/>
      <w:lvlJc w:val="left"/>
      <w:pPr>
        <w:tabs>
          <w:tab w:val="num" w:pos="4320"/>
        </w:tabs>
        <w:ind w:left="4320" w:hanging="360"/>
      </w:pPr>
      <w:rPr>
        <w:rFonts w:ascii="Verdana" w:hAnsi="Verdana" w:hint="default"/>
      </w:rPr>
    </w:lvl>
    <w:lvl w:ilvl="6" w:tplc="5566AAB8" w:tentative="1">
      <w:start w:val="1"/>
      <w:numFmt w:val="bullet"/>
      <w:lvlText w:val="–"/>
      <w:lvlJc w:val="left"/>
      <w:pPr>
        <w:tabs>
          <w:tab w:val="num" w:pos="5040"/>
        </w:tabs>
        <w:ind w:left="5040" w:hanging="360"/>
      </w:pPr>
      <w:rPr>
        <w:rFonts w:ascii="Verdana" w:hAnsi="Verdana" w:hint="default"/>
      </w:rPr>
    </w:lvl>
    <w:lvl w:ilvl="7" w:tplc="FE06DEEC" w:tentative="1">
      <w:start w:val="1"/>
      <w:numFmt w:val="bullet"/>
      <w:lvlText w:val="–"/>
      <w:lvlJc w:val="left"/>
      <w:pPr>
        <w:tabs>
          <w:tab w:val="num" w:pos="5760"/>
        </w:tabs>
        <w:ind w:left="5760" w:hanging="360"/>
      </w:pPr>
      <w:rPr>
        <w:rFonts w:ascii="Verdana" w:hAnsi="Verdana" w:hint="default"/>
      </w:rPr>
    </w:lvl>
    <w:lvl w:ilvl="8" w:tplc="8850C6C4" w:tentative="1">
      <w:start w:val="1"/>
      <w:numFmt w:val="bullet"/>
      <w:lvlText w:val="–"/>
      <w:lvlJc w:val="left"/>
      <w:pPr>
        <w:tabs>
          <w:tab w:val="num" w:pos="6480"/>
        </w:tabs>
        <w:ind w:left="6480" w:hanging="360"/>
      </w:pPr>
      <w:rPr>
        <w:rFonts w:ascii="Verdana" w:hAnsi="Verdana" w:hint="default"/>
      </w:rPr>
    </w:lvl>
  </w:abstractNum>
  <w:abstractNum w:abstractNumId="10">
    <w:nsid w:val="28A2038E"/>
    <w:multiLevelType w:val="hybridMultilevel"/>
    <w:tmpl w:val="960CF6F4"/>
    <w:lvl w:ilvl="0" w:tplc="08090003">
      <w:start w:val="1"/>
      <w:numFmt w:val="bullet"/>
      <w:lvlText w:val="o"/>
      <w:lvlJc w:val="left"/>
      <w:pPr>
        <w:ind w:left="1080" w:hanging="360"/>
      </w:pPr>
      <w:rPr>
        <w:rFonts w:ascii="Courier New" w:hAnsi="Courier New" w:cs="Courier New" w:hint="default"/>
        <w:color w:val="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9FE64E3"/>
    <w:multiLevelType w:val="hybridMultilevel"/>
    <w:tmpl w:val="2A069AA2"/>
    <w:lvl w:ilvl="0" w:tplc="AF6A157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3F2165"/>
    <w:multiLevelType w:val="hybridMultilevel"/>
    <w:tmpl w:val="CC36C010"/>
    <w:lvl w:ilvl="0" w:tplc="AA46BA8E">
      <w:start w:val="1"/>
      <w:numFmt w:val="bullet"/>
      <w:lvlText w:val="•"/>
      <w:lvlJc w:val="left"/>
      <w:pPr>
        <w:tabs>
          <w:tab w:val="num" w:pos="720"/>
        </w:tabs>
        <w:ind w:left="720" w:hanging="360"/>
      </w:pPr>
      <w:rPr>
        <w:rFonts w:ascii="Arial" w:hAnsi="Arial" w:hint="default"/>
      </w:rPr>
    </w:lvl>
    <w:lvl w:ilvl="1" w:tplc="92427152" w:tentative="1">
      <w:start w:val="1"/>
      <w:numFmt w:val="bullet"/>
      <w:lvlText w:val="•"/>
      <w:lvlJc w:val="left"/>
      <w:pPr>
        <w:tabs>
          <w:tab w:val="num" w:pos="1440"/>
        </w:tabs>
        <w:ind w:left="1440" w:hanging="360"/>
      </w:pPr>
      <w:rPr>
        <w:rFonts w:ascii="Arial" w:hAnsi="Arial" w:hint="default"/>
      </w:rPr>
    </w:lvl>
    <w:lvl w:ilvl="2" w:tplc="FB64D188" w:tentative="1">
      <w:start w:val="1"/>
      <w:numFmt w:val="bullet"/>
      <w:lvlText w:val="•"/>
      <w:lvlJc w:val="left"/>
      <w:pPr>
        <w:tabs>
          <w:tab w:val="num" w:pos="2160"/>
        </w:tabs>
        <w:ind w:left="2160" w:hanging="360"/>
      </w:pPr>
      <w:rPr>
        <w:rFonts w:ascii="Arial" w:hAnsi="Arial" w:hint="default"/>
      </w:rPr>
    </w:lvl>
    <w:lvl w:ilvl="3" w:tplc="F6ACDFEC" w:tentative="1">
      <w:start w:val="1"/>
      <w:numFmt w:val="bullet"/>
      <w:lvlText w:val="•"/>
      <w:lvlJc w:val="left"/>
      <w:pPr>
        <w:tabs>
          <w:tab w:val="num" w:pos="2880"/>
        </w:tabs>
        <w:ind w:left="2880" w:hanging="360"/>
      </w:pPr>
      <w:rPr>
        <w:rFonts w:ascii="Arial" w:hAnsi="Arial" w:hint="default"/>
      </w:rPr>
    </w:lvl>
    <w:lvl w:ilvl="4" w:tplc="EE94361E" w:tentative="1">
      <w:start w:val="1"/>
      <w:numFmt w:val="bullet"/>
      <w:lvlText w:val="•"/>
      <w:lvlJc w:val="left"/>
      <w:pPr>
        <w:tabs>
          <w:tab w:val="num" w:pos="3600"/>
        </w:tabs>
        <w:ind w:left="3600" w:hanging="360"/>
      </w:pPr>
      <w:rPr>
        <w:rFonts w:ascii="Arial" w:hAnsi="Arial" w:hint="default"/>
      </w:rPr>
    </w:lvl>
    <w:lvl w:ilvl="5" w:tplc="96DAAE9E" w:tentative="1">
      <w:start w:val="1"/>
      <w:numFmt w:val="bullet"/>
      <w:lvlText w:val="•"/>
      <w:lvlJc w:val="left"/>
      <w:pPr>
        <w:tabs>
          <w:tab w:val="num" w:pos="4320"/>
        </w:tabs>
        <w:ind w:left="4320" w:hanging="360"/>
      </w:pPr>
      <w:rPr>
        <w:rFonts w:ascii="Arial" w:hAnsi="Arial" w:hint="default"/>
      </w:rPr>
    </w:lvl>
    <w:lvl w:ilvl="6" w:tplc="911A3CEA" w:tentative="1">
      <w:start w:val="1"/>
      <w:numFmt w:val="bullet"/>
      <w:lvlText w:val="•"/>
      <w:lvlJc w:val="left"/>
      <w:pPr>
        <w:tabs>
          <w:tab w:val="num" w:pos="5040"/>
        </w:tabs>
        <w:ind w:left="5040" w:hanging="360"/>
      </w:pPr>
      <w:rPr>
        <w:rFonts w:ascii="Arial" w:hAnsi="Arial" w:hint="default"/>
      </w:rPr>
    </w:lvl>
    <w:lvl w:ilvl="7" w:tplc="382662C2" w:tentative="1">
      <w:start w:val="1"/>
      <w:numFmt w:val="bullet"/>
      <w:lvlText w:val="•"/>
      <w:lvlJc w:val="left"/>
      <w:pPr>
        <w:tabs>
          <w:tab w:val="num" w:pos="5760"/>
        </w:tabs>
        <w:ind w:left="5760" w:hanging="360"/>
      </w:pPr>
      <w:rPr>
        <w:rFonts w:ascii="Arial" w:hAnsi="Arial" w:hint="default"/>
      </w:rPr>
    </w:lvl>
    <w:lvl w:ilvl="8" w:tplc="4CD4CB7A" w:tentative="1">
      <w:start w:val="1"/>
      <w:numFmt w:val="bullet"/>
      <w:lvlText w:val="•"/>
      <w:lvlJc w:val="left"/>
      <w:pPr>
        <w:tabs>
          <w:tab w:val="num" w:pos="6480"/>
        </w:tabs>
        <w:ind w:left="6480" w:hanging="360"/>
      </w:pPr>
      <w:rPr>
        <w:rFonts w:ascii="Arial" w:hAnsi="Arial" w:hint="default"/>
      </w:rPr>
    </w:lvl>
  </w:abstractNum>
  <w:abstractNum w:abstractNumId="13">
    <w:nsid w:val="59834FF9"/>
    <w:multiLevelType w:val="hybridMultilevel"/>
    <w:tmpl w:val="FAEA722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A83E8F"/>
    <w:multiLevelType w:val="hybridMultilevel"/>
    <w:tmpl w:val="7C205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9952D56"/>
    <w:multiLevelType w:val="hybridMultilevel"/>
    <w:tmpl w:val="188C2672"/>
    <w:lvl w:ilvl="0" w:tplc="5C8251B6">
      <w:start w:val="1"/>
      <w:numFmt w:val="bullet"/>
      <w:lvlText w:val=""/>
      <w:lvlJc w:val="left"/>
      <w:pPr>
        <w:ind w:left="72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DE57B66"/>
    <w:multiLevelType w:val="hybridMultilevel"/>
    <w:tmpl w:val="71A081D6"/>
    <w:lvl w:ilvl="0" w:tplc="746486F4">
      <w:start w:val="1"/>
      <w:numFmt w:val="bullet"/>
      <w:lvlText w:val="•"/>
      <w:lvlJc w:val="left"/>
      <w:pPr>
        <w:tabs>
          <w:tab w:val="num" w:pos="720"/>
        </w:tabs>
        <w:ind w:left="720" w:hanging="360"/>
      </w:pPr>
      <w:rPr>
        <w:rFonts w:ascii="Arial" w:hAnsi="Arial" w:hint="default"/>
      </w:rPr>
    </w:lvl>
    <w:lvl w:ilvl="1" w:tplc="9FDADCC4" w:tentative="1">
      <w:start w:val="1"/>
      <w:numFmt w:val="bullet"/>
      <w:lvlText w:val="•"/>
      <w:lvlJc w:val="left"/>
      <w:pPr>
        <w:tabs>
          <w:tab w:val="num" w:pos="1440"/>
        </w:tabs>
        <w:ind w:left="1440" w:hanging="360"/>
      </w:pPr>
      <w:rPr>
        <w:rFonts w:ascii="Arial" w:hAnsi="Arial" w:hint="default"/>
      </w:rPr>
    </w:lvl>
    <w:lvl w:ilvl="2" w:tplc="DB781458" w:tentative="1">
      <w:start w:val="1"/>
      <w:numFmt w:val="bullet"/>
      <w:lvlText w:val="•"/>
      <w:lvlJc w:val="left"/>
      <w:pPr>
        <w:tabs>
          <w:tab w:val="num" w:pos="2160"/>
        </w:tabs>
        <w:ind w:left="2160" w:hanging="360"/>
      </w:pPr>
      <w:rPr>
        <w:rFonts w:ascii="Arial" w:hAnsi="Arial" w:hint="default"/>
      </w:rPr>
    </w:lvl>
    <w:lvl w:ilvl="3" w:tplc="DB866178" w:tentative="1">
      <w:start w:val="1"/>
      <w:numFmt w:val="bullet"/>
      <w:lvlText w:val="•"/>
      <w:lvlJc w:val="left"/>
      <w:pPr>
        <w:tabs>
          <w:tab w:val="num" w:pos="2880"/>
        </w:tabs>
        <w:ind w:left="2880" w:hanging="360"/>
      </w:pPr>
      <w:rPr>
        <w:rFonts w:ascii="Arial" w:hAnsi="Arial" w:hint="default"/>
      </w:rPr>
    </w:lvl>
    <w:lvl w:ilvl="4" w:tplc="BC2ED2E0" w:tentative="1">
      <w:start w:val="1"/>
      <w:numFmt w:val="bullet"/>
      <w:lvlText w:val="•"/>
      <w:lvlJc w:val="left"/>
      <w:pPr>
        <w:tabs>
          <w:tab w:val="num" w:pos="3600"/>
        </w:tabs>
        <w:ind w:left="3600" w:hanging="360"/>
      </w:pPr>
      <w:rPr>
        <w:rFonts w:ascii="Arial" w:hAnsi="Arial" w:hint="default"/>
      </w:rPr>
    </w:lvl>
    <w:lvl w:ilvl="5" w:tplc="722A190C" w:tentative="1">
      <w:start w:val="1"/>
      <w:numFmt w:val="bullet"/>
      <w:lvlText w:val="•"/>
      <w:lvlJc w:val="left"/>
      <w:pPr>
        <w:tabs>
          <w:tab w:val="num" w:pos="4320"/>
        </w:tabs>
        <w:ind w:left="4320" w:hanging="360"/>
      </w:pPr>
      <w:rPr>
        <w:rFonts w:ascii="Arial" w:hAnsi="Arial" w:hint="default"/>
      </w:rPr>
    </w:lvl>
    <w:lvl w:ilvl="6" w:tplc="5DCE4080" w:tentative="1">
      <w:start w:val="1"/>
      <w:numFmt w:val="bullet"/>
      <w:lvlText w:val="•"/>
      <w:lvlJc w:val="left"/>
      <w:pPr>
        <w:tabs>
          <w:tab w:val="num" w:pos="5040"/>
        </w:tabs>
        <w:ind w:left="5040" w:hanging="360"/>
      </w:pPr>
      <w:rPr>
        <w:rFonts w:ascii="Arial" w:hAnsi="Arial" w:hint="default"/>
      </w:rPr>
    </w:lvl>
    <w:lvl w:ilvl="7" w:tplc="CD8C02F0" w:tentative="1">
      <w:start w:val="1"/>
      <w:numFmt w:val="bullet"/>
      <w:lvlText w:val="•"/>
      <w:lvlJc w:val="left"/>
      <w:pPr>
        <w:tabs>
          <w:tab w:val="num" w:pos="5760"/>
        </w:tabs>
        <w:ind w:left="5760" w:hanging="360"/>
      </w:pPr>
      <w:rPr>
        <w:rFonts w:ascii="Arial" w:hAnsi="Arial" w:hint="default"/>
      </w:rPr>
    </w:lvl>
    <w:lvl w:ilvl="8" w:tplc="077EE820"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6"/>
  </w:num>
  <w:num w:numId="3">
    <w:abstractNumId w:val="0"/>
  </w:num>
  <w:num w:numId="4">
    <w:abstractNumId w:val="5"/>
  </w:num>
  <w:num w:numId="5">
    <w:abstractNumId w:val="15"/>
  </w:num>
  <w:num w:numId="6">
    <w:abstractNumId w:val="16"/>
  </w:num>
  <w:num w:numId="7">
    <w:abstractNumId w:val="7"/>
  </w:num>
  <w:num w:numId="8">
    <w:abstractNumId w:val="2"/>
  </w:num>
  <w:num w:numId="9">
    <w:abstractNumId w:val="12"/>
  </w:num>
  <w:num w:numId="10">
    <w:abstractNumId w:val="11"/>
  </w:num>
  <w:num w:numId="11">
    <w:abstractNumId w:val="4"/>
  </w:num>
  <w:num w:numId="12">
    <w:abstractNumId w:val="9"/>
  </w:num>
  <w:num w:numId="13">
    <w:abstractNumId w:val="8"/>
  </w:num>
  <w:num w:numId="14">
    <w:abstractNumId w:val="10"/>
  </w:num>
  <w:num w:numId="15">
    <w:abstractNumId w:val="1"/>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228B"/>
    <w:rsid w:val="00014B53"/>
    <w:rsid w:val="000303A0"/>
    <w:rsid w:val="0004050E"/>
    <w:rsid w:val="00057CF4"/>
    <w:rsid w:val="00096281"/>
    <w:rsid w:val="000A0FD0"/>
    <w:rsid w:val="000A2E6D"/>
    <w:rsid w:val="000E48F8"/>
    <w:rsid w:val="00100E3D"/>
    <w:rsid w:val="001012D6"/>
    <w:rsid w:val="00101CE1"/>
    <w:rsid w:val="00112860"/>
    <w:rsid w:val="0011292A"/>
    <w:rsid w:val="00114D3F"/>
    <w:rsid w:val="00181B8D"/>
    <w:rsid w:val="0019771B"/>
    <w:rsid w:val="001A49B1"/>
    <w:rsid w:val="001C0299"/>
    <w:rsid w:val="001D4CFE"/>
    <w:rsid w:val="002259E3"/>
    <w:rsid w:val="002268A8"/>
    <w:rsid w:val="002335D9"/>
    <w:rsid w:val="00265935"/>
    <w:rsid w:val="0027147B"/>
    <w:rsid w:val="00272920"/>
    <w:rsid w:val="003168BA"/>
    <w:rsid w:val="003461DA"/>
    <w:rsid w:val="00375C0C"/>
    <w:rsid w:val="00380384"/>
    <w:rsid w:val="003941E2"/>
    <w:rsid w:val="003A2FF1"/>
    <w:rsid w:val="003A4B40"/>
    <w:rsid w:val="003B7653"/>
    <w:rsid w:val="003F0EC2"/>
    <w:rsid w:val="00422848"/>
    <w:rsid w:val="004444F8"/>
    <w:rsid w:val="00453B95"/>
    <w:rsid w:val="005067C8"/>
    <w:rsid w:val="005151FA"/>
    <w:rsid w:val="00557808"/>
    <w:rsid w:val="00567784"/>
    <w:rsid w:val="00581FC9"/>
    <w:rsid w:val="005D1DBC"/>
    <w:rsid w:val="005D290B"/>
    <w:rsid w:val="005E504F"/>
    <w:rsid w:val="00606096"/>
    <w:rsid w:val="0060741D"/>
    <w:rsid w:val="00611903"/>
    <w:rsid w:val="0061555A"/>
    <w:rsid w:val="00640231"/>
    <w:rsid w:val="0066644B"/>
    <w:rsid w:val="006864B2"/>
    <w:rsid w:val="00691193"/>
    <w:rsid w:val="006A31BB"/>
    <w:rsid w:val="006D31DD"/>
    <w:rsid w:val="006D6A61"/>
    <w:rsid w:val="007052A7"/>
    <w:rsid w:val="00754874"/>
    <w:rsid w:val="00771F98"/>
    <w:rsid w:val="007B1229"/>
    <w:rsid w:val="007C150E"/>
    <w:rsid w:val="007D0A85"/>
    <w:rsid w:val="0081706D"/>
    <w:rsid w:val="00846152"/>
    <w:rsid w:val="008475AE"/>
    <w:rsid w:val="00860C0F"/>
    <w:rsid w:val="00861867"/>
    <w:rsid w:val="008921B9"/>
    <w:rsid w:val="008939CD"/>
    <w:rsid w:val="008C6DCF"/>
    <w:rsid w:val="008D20C9"/>
    <w:rsid w:val="008E0C6A"/>
    <w:rsid w:val="0096134E"/>
    <w:rsid w:val="009659D2"/>
    <w:rsid w:val="009921EC"/>
    <w:rsid w:val="009C42DD"/>
    <w:rsid w:val="009C4788"/>
    <w:rsid w:val="009D1FFE"/>
    <w:rsid w:val="009F370A"/>
    <w:rsid w:val="00A05C46"/>
    <w:rsid w:val="00A14208"/>
    <w:rsid w:val="00A2480C"/>
    <w:rsid w:val="00A2734F"/>
    <w:rsid w:val="00A37AE2"/>
    <w:rsid w:val="00A42DA7"/>
    <w:rsid w:val="00B251CE"/>
    <w:rsid w:val="00B355EF"/>
    <w:rsid w:val="00B513F6"/>
    <w:rsid w:val="00B6468E"/>
    <w:rsid w:val="00B7228B"/>
    <w:rsid w:val="00B75202"/>
    <w:rsid w:val="00B80850"/>
    <w:rsid w:val="00B80E74"/>
    <w:rsid w:val="00BA32DD"/>
    <w:rsid w:val="00BB6240"/>
    <w:rsid w:val="00BC1481"/>
    <w:rsid w:val="00BE7102"/>
    <w:rsid w:val="00C2250D"/>
    <w:rsid w:val="00C26B9E"/>
    <w:rsid w:val="00C37887"/>
    <w:rsid w:val="00C738B7"/>
    <w:rsid w:val="00CA3323"/>
    <w:rsid w:val="00CA4DD8"/>
    <w:rsid w:val="00CD174A"/>
    <w:rsid w:val="00CE036A"/>
    <w:rsid w:val="00D13B0F"/>
    <w:rsid w:val="00D41AF1"/>
    <w:rsid w:val="00D5384E"/>
    <w:rsid w:val="00D85D3B"/>
    <w:rsid w:val="00DE5E07"/>
    <w:rsid w:val="00E016AB"/>
    <w:rsid w:val="00E204DE"/>
    <w:rsid w:val="00E2758A"/>
    <w:rsid w:val="00E3662D"/>
    <w:rsid w:val="00E47DF1"/>
    <w:rsid w:val="00F07CEC"/>
    <w:rsid w:val="00F1400C"/>
    <w:rsid w:val="00F403E3"/>
    <w:rsid w:val="00F42467"/>
    <w:rsid w:val="00F67C92"/>
    <w:rsid w:val="00FB6B0D"/>
    <w:rsid w:val="00FE44FB"/>
    <w:rsid w:val="00FF0D7E"/>
    <w:rsid w:val="00FF7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4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28B"/>
    <w:pPr>
      <w:ind w:left="720"/>
      <w:contextualSpacing/>
    </w:pPr>
  </w:style>
  <w:style w:type="paragraph" w:styleId="Header">
    <w:name w:val="header"/>
    <w:basedOn w:val="Normal"/>
    <w:link w:val="HeaderChar"/>
    <w:uiPriority w:val="99"/>
    <w:semiHidden/>
    <w:unhideWhenUsed/>
    <w:rsid w:val="00375C0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75C0C"/>
  </w:style>
  <w:style w:type="paragraph" w:styleId="Footer">
    <w:name w:val="footer"/>
    <w:basedOn w:val="Normal"/>
    <w:link w:val="FooterChar"/>
    <w:uiPriority w:val="99"/>
    <w:unhideWhenUsed/>
    <w:rsid w:val="0037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5C0C"/>
  </w:style>
  <w:style w:type="paragraph" w:styleId="BalloonText">
    <w:name w:val="Balloon Text"/>
    <w:basedOn w:val="Normal"/>
    <w:link w:val="BalloonTextChar"/>
    <w:uiPriority w:val="99"/>
    <w:semiHidden/>
    <w:unhideWhenUsed/>
    <w:rsid w:val="00375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C0C"/>
    <w:rPr>
      <w:rFonts w:ascii="Tahoma" w:hAnsi="Tahoma" w:cs="Tahoma"/>
      <w:sz w:val="16"/>
      <w:szCs w:val="16"/>
    </w:rPr>
  </w:style>
  <w:style w:type="table" w:styleId="TableGrid">
    <w:name w:val="Table Grid"/>
    <w:basedOn w:val="TableNormal"/>
    <w:uiPriority w:val="59"/>
    <w:rsid w:val="008C6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444F8"/>
    <w:rPr>
      <w:sz w:val="16"/>
      <w:szCs w:val="16"/>
    </w:rPr>
  </w:style>
  <w:style w:type="paragraph" w:styleId="CommentText">
    <w:name w:val="annotation text"/>
    <w:basedOn w:val="Normal"/>
    <w:link w:val="CommentTextChar"/>
    <w:uiPriority w:val="99"/>
    <w:semiHidden/>
    <w:unhideWhenUsed/>
    <w:rsid w:val="004444F8"/>
    <w:pPr>
      <w:spacing w:line="240" w:lineRule="auto"/>
    </w:pPr>
    <w:rPr>
      <w:sz w:val="20"/>
      <w:szCs w:val="20"/>
    </w:rPr>
  </w:style>
  <w:style w:type="character" w:customStyle="1" w:styleId="CommentTextChar">
    <w:name w:val="Comment Text Char"/>
    <w:basedOn w:val="DefaultParagraphFont"/>
    <w:link w:val="CommentText"/>
    <w:uiPriority w:val="99"/>
    <w:semiHidden/>
    <w:rsid w:val="004444F8"/>
    <w:rPr>
      <w:sz w:val="20"/>
      <w:szCs w:val="20"/>
    </w:rPr>
  </w:style>
  <w:style w:type="paragraph" w:styleId="CommentSubject">
    <w:name w:val="annotation subject"/>
    <w:basedOn w:val="CommentText"/>
    <w:next w:val="CommentText"/>
    <w:link w:val="CommentSubjectChar"/>
    <w:uiPriority w:val="99"/>
    <w:semiHidden/>
    <w:unhideWhenUsed/>
    <w:rsid w:val="004444F8"/>
    <w:rPr>
      <w:b/>
      <w:bCs/>
    </w:rPr>
  </w:style>
  <w:style w:type="character" w:customStyle="1" w:styleId="CommentSubjectChar">
    <w:name w:val="Comment Subject Char"/>
    <w:basedOn w:val="CommentTextChar"/>
    <w:link w:val="CommentSubject"/>
    <w:uiPriority w:val="99"/>
    <w:semiHidden/>
    <w:rsid w:val="004444F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803730">
      <w:bodyDiv w:val="1"/>
      <w:marLeft w:val="0"/>
      <w:marRight w:val="0"/>
      <w:marTop w:val="0"/>
      <w:marBottom w:val="0"/>
      <w:divBdr>
        <w:top w:val="none" w:sz="0" w:space="0" w:color="auto"/>
        <w:left w:val="none" w:sz="0" w:space="0" w:color="auto"/>
        <w:bottom w:val="none" w:sz="0" w:space="0" w:color="auto"/>
        <w:right w:val="none" w:sz="0" w:space="0" w:color="auto"/>
      </w:divBdr>
      <w:divsChild>
        <w:div w:id="2116171974">
          <w:marLeft w:val="274"/>
          <w:marRight w:val="0"/>
          <w:marTop w:val="0"/>
          <w:marBottom w:val="0"/>
          <w:divBdr>
            <w:top w:val="none" w:sz="0" w:space="0" w:color="auto"/>
            <w:left w:val="none" w:sz="0" w:space="0" w:color="auto"/>
            <w:bottom w:val="none" w:sz="0" w:space="0" w:color="auto"/>
            <w:right w:val="none" w:sz="0" w:space="0" w:color="auto"/>
          </w:divBdr>
        </w:div>
        <w:div w:id="1905335667">
          <w:marLeft w:val="274"/>
          <w:marRight w:val="0"/>
          <w:marTop w:val="0"/>
          <w:marBottom w:val="0"/>
          <w:divBdr>
            <w:top w:val="none" w:sz="0" w:space="0" w:color="auto"/>
            <w:left w:val="none" w:sz="0" w:space="0" w:color="auto"/>
            <w:bottom w:val="none" w:sz="0" w:space="0" w:color="auto"/>
            <w:right w:val="none" w:sz="0" w:space="0" w:color="auto"/>
          </w:divBdr>
        </w:div>
        <w:div w:id="1248929952">
          <w:marLeft w:val="274"/>
          <w:marRight w:val="0"/>
          <w:marTop w:val="0"/>
          <w:marBottom w:val="0"/>
          <w:divBdr>
            <w:top w:val="none" w:sz="0" w:space="0" w:color="auto"/>
            <w:left w:val="none" w:sz="0" w:space="0" w:color="auto"/>
            <w:bottom w:val="none" w:sz="0" w:space="0" w:color="auto"/>
            <w:right w:val="none" w:sz="0" w:space="0" w:color="auto"/>
          </w:divBdr>
        </w:div>
        <w:div w:id="1828090452">
          <w:marLeft w:val="274"/>
          <w:marRight w:val="0"/>
          <w:marTop w:val="0"/>
          <w:marBottom w:val="0"/>
          <w:divBdr>
            <w:top w:val="none" w:sz="0" w:space="0" w:color="auto"/>
            <w:left w:val="none" w:sz="0" w:space="0" w:color="auto"/>
            <w:bottom w:val="none" w:sz="0" w:space="0" w:color="auto"/>
            <w:right w:val="none" w:sz="0" w:space="0" w:color="auto"/>
          </w:divBdr>
        </w:div>
      </w:divsChild>
    </w:div>
    <w:div w:id="793867040">
      <w:bodyDiv w:val="1"/>
      <w:marLeft w:val="0"/>
      <w:marRight w:val="0"/>
      <w:marTop w:val="0"/>
      <w:marBottom w:val="0"/>
      <w:divBdr>
        <w:top w:val="none" w:sz="0" w:space="0" w:color="auto"/>
        <w:left w:val="none" w:sz="0" w:space="0" w:color="auto"/>
        <w:bottom w:val="none" w:sz="0" w:space="0" w:color="auto"/>
        <w:right w:val="none" w:sz="0" w:space="0" w:color="auto"/>
      </w:divBdr>
      <w:divsChild>
        <w:div w:id="86191248">
          <w:marLeft w:val="1138"/>
          <w:marRight w:val="0"/>
          <w:marTop w:val="115"/>
          <w:marBottom w:val="0"/>
          <w:divBdr>
            <w:top w:val="none" w:sz="0" w:space="0" w:color="auto"/>
            <w:left w:val="none" w:sz="0" w:space="0" w:color="auto"/>
            <w:bottom w:val="none" w:sz="0" w:space="0" w:color="auto"/>
            <w:right w:val="none" w:sz="0" w:space="0" w:color="auto"/>
          </w:divBdr>
        </w:div>
        <w:div w:id="799567052">
          <w:marLeft w:val="1138"/>
          <w:marRight w:val="0"/>
          <w:marTop w:val="115"/>
          <w:marBottom w:val="0"/>
          <w:divBdr>
            <w:top w:val="none" w:sz="0" w:space="0" w:color="auto"/>
            <w:left w:val="none" w:sz="0" w:space="0" w:color="auto"/>
            <w:bottom w:val="none" w:sz="0" w:space="0" w:color="auto"/>
            <w:right w:val="none" w:sz="0" w:space="0" w:color="auto"/>
          </w:divBdr>
        </w:div>
        <w:div w:id="2132288255">
          <w:marLeft w:val="1138"/>
          <w:marRight w:val="0"/>
          <w:marTop w:val="115"/>
          <w:marBottom w:val="0"/>
          <w:divBdr>
            <w:top w:val="none" w:sz="0" w:space="0" w:color="auto"/>
            <w:left w:val="none" w:sz="0" w:space="0" w:color="auto"/>
            <w:bottom w:val="none" w:sz="0" w:space="0" w:color="auto"/>
            <w:right w:val="none" w:sz="0" w:space="0" w:color="auto"/>
          </w:divBdr>
        </w:div>
      </w:divsChild>
    </w:div>
    <w:div w:id="1506243933">
      <w:bodyDiv w:val="1"/>
      <w:marLeft w:val="0"/>
      <w:marRight w:val="0"/>
      <w:marTop w:val="0"/>
      <w:marBottom w:val="0"/>
      <w:divBdr>
        <w:top w:val="none" w:sz="0" w:space="0" w:color="auto"/>
        <w:left w:val="none" w:sz="0" w:space="0" w:color="auto"/>
        <w:bottom w:val="none" w:sz="0" w:space="0" w:color="auto"/>
        <w:right w:val="none" w:sz="0" w:space="0" w:color="auto"/>
      </w:divBdr>
      <w:divsChild>
        <w:div w:id="1263489180">
          <w:marLeft w:val="274"/>
          <w:marRight w:val="0"/>
          <w:marTop w:val="0"/>
          <w:marBottom w:val="0"/>
          <w:divBdr>
            <w:top w:val="none" w:sz="0" w:space="0" w:color="auto"/>
            <w:left w:val="none" w:sz="0" w:space="0" w:color="auto"/>
            <w:bottom w:val="none" w:sz="0" w:space="0" w:color="auto"/>
            <w:right w:val="none" w:sz="0" w:space="0" w:color="auto"/>
          </w:divBdr>
        </w:div>
        <w:div w:id="902914422">
          <w:marLeft w:val="274"/>
          <w:marRight w:val="0"/>
          <w:marTop w:val="0"/>
          <w:marBottom w:val="0"/>
          <w:divBdr>
            <w:top w:val="none" w:sz="0" w:space="0" w:color="auto"/>
            <w:left w:val="none" w:sz="0" w:space="0" w:color="auto"/>
            <w:bottom w:val="none" w:sz="0" w:space="0" w:color="auto"/>
            <w:right w:val="none" w:sz="0" w:space="0" w:color="auto"/>
          </w:divBdr>
        </w:div>
        <w:div w:id="959411060">
          <w:marLeft w:val="274"/>
          <w:marRight w:val="0"/>
          <w:marTop w:val="0"/>
          <w:marBottom w:val="0"/>
          <w:divBdr>
            <w:top w:val="none" w:sz="0" w:space="0" w:color="auto"/>
            <w:left w:val="none" w:sz="0" w:space="0" w:color="auto"/>
            <w:bottom w:val="none" w:sz="0" w:space="0" w:color="auto"/>
            <w:right w:val="none" w:sz="0" w:space="0" w:color="auto"/>
          </w:divBdr>
        </w:div>
        <w:div w:id="1254433937">
          <w:marLeft w:val="274"/>
          <w:marRight w:val="0"/>
          <w:marTop w:val="0"/>
          <w:marBottom w:val="0"/>
          <w:divBdr>
            <w:top w:val="none" w:sz="0" w:space="0" w:color="auto"/>
            <w:left w:val="none" w:sz="0" w:space="0" w:color="auto"/>
            <w:bottom w:val="none" w:sz="0" w:space="0" w:color="auto"/>
            <w:right w:val="none" w:sz="0" w:space="0" w:color="auto"/>
          </w:divBdr>
        </w:div>
      </w:divsChild>
    </w:div>
    <w:div w:id="1635521287">
      <w:bodyDiv w:val="1"/>
      <w:marLeft w:val="0"/>
      <w:marRight w:val="0"/>
      <w:marTop w:val="0"/>
      <w:marBottom w:val="0"/>
      <w:divBdr>
        <w:top w:val="none" w:sz="0" w:space="0" w:color="auto"/>
        <w:left w:val="none" w:sz="0" w:space="0" w:color="auto"/>
        <w:bottom w:val="none" w:sz="0" w:space="0" w:color="auto"/>
        <w:right w:val="none" w:sz="0" w:space="0" w:color="auto"/>
      </w:divBdr>
    </w:div>
    <w:div w:id="1807552754">
      <w:bodyDiv w:val="1"/>
      <w:marLeft w:val="0"/>
      <w:marRight w:val="0"/>
      <w:marTop w:val="0"/>
      <w:marBottom w:val="0"/>
      <w:divBdr>
        <w:top w:val="none" w:sz="0" w:space="0" w:color="auto"/>
        <w:left w:val="none" w:sz="0" w:space="0" w:color="auto"/>
        <w:bottom w:val="none" w:sz="0" w:space="0" w:color="auto"/>
        <w:right w:val="none" w:sz="0" w:space="0" w:color="auto"/>
      </w:divBdr>
    </w:div>
    <w:div w:id="2080013234">
      <w:bodyDiv w:val="1"/>
      <w:marLeft w:val="0"/>
      <w:marRight w:val="0"/>
      <w:marTop w:val="0"/>
      <w:marBottom w:val="0"/>
      <w:divBdr>
        <w:top w:val="none" w:sz="0" w:space="0" w:color="auto"/>
        <w:left w:val="none" w:sz="0" w:space="0" w:color="auto"/>
        <w:bottom w:val="none" w:sz="0" w:space="0" w:color="auto"/>
        <w:right w:val="none" w:sz="0" w:space="0" w:color="auto"/>
      </w:divBdr>
      <w:divsChild>
        <w:div w:id="2025670491">
          <w:marLeft w:val="576"/>
          <w:marRight w:val="0"/>
          <w:marTop w:val="0"/>
          <w:marBottom w:val="0"/>
          <w:divBdr>
            <w:top w:val="none" w:sz="0" w:space="0" w:color="auto"/>
            <w:left w:val="none" w:sz="0" w:space="0" w:color="auto"/>
            <w:bottom w:val="none" w:sz="0" w:space="0" w:color="auto"/>
            <w:right w:val="none" w:sz="0" w:space="0" w:color="auto"/>
          </w:divBdr>
        </w:div>
        <w:div w:id="56099940">
          <w:marLeft w:val="576"/>
          <w:marRight w:val="0"/>
          <w:marTop w:val="0"/>
          <w:marBottom w:val="0"/>
          <w:divBdr>
            <w:top w:val="none" w:sz="0" w:space="0" w:color="auto"/>
            <w:left w:val="none" w:sz="0" w:space="0" w:color="auto"/>
            <w:bottom w:val="none" w:sz="0" w:space="0" w:color="auto"/>
            <w:right w:val="none" w:sz="0" w:space="0" w:color="auto"/>
          </w:divBdr>
        </w:div>
        <w:div w:id="1782067023">
          <w:marLeft w:val="57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2169</Words>
  <Characters>12367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IMS HEALTH</Company>
  <LinksUpToDate>false</LinksUpToDate>
  <CharactersWithSpaces>14507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jredmond</dc:creator>
  <cp:lastModifiedBy>JAdamson</cp:lastModifiedBy>
  <cp:revision>2</cp:revision>
  <cp:lastPrinted>2015-11-30T17:40:00Z</cp:lastPrinted>
  <dcterms:created xsi:type="dcterms:W3CDTF">2017-02-01T14:38:00Z</dcterms:created>
  <dcterms:modified xsi:type="dcterms:W3CDTF">2017-02-01T14:38:00Z</dcterms:modified>
</cp:coreProperties>
</file>