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2C818" w14:textId="726C66F5" w:rsidR="005D6621" w:rsidRDefault="004A4885">
      <w:pPr>
        <w:pStyle w:val="RefAgency"/>
        <w:tabs>
          <w:tab w:val="left" w:pos="1277"/>
        </w:tabs>
      </w:pPr>
      <w:r>
        <w:t>26 January 2017</w:t>
      </w:r>
    </w:p>
    <w:p w14:paraId="1FC32F8A" w14:textId="77777777" w:rsidR="005D6621" w:rsidRDefault="005D6621">
      <w:pPr>
        <w:pStyle w:val="RefAgency"/>
        <w:tabs>
          <w:tab w:val="left" w:pos="1277"/>
        </w:tabs>
      </w:pPr>
    </w:p>
    <w:p w14:paraId="1E038D6A" w14:textId="77777777" w:rsidR="00672D60" w:rsidRDefault="00CC2FB8" w:rsidP="00CC2FB8">
      <w:pPr>
        <w:pStyle w:val="DoctitleAgency"/>
        <w:rPr>
          <w:color w:val="003199"/>
        </w:rPr>
      </w:pPr>
      <w:bookmarkStart w:id="0" w:name="Head"/>
      <w:bookmarkEnd w:id="0"/>
      <w:r>
        <w:t>S</w:t>
      </w:r>
      <w:r w:rsidR="005D6621">
        <w:t>ubmission of comments on</w:t>
      </w:r>
      <w:r>
        <w:t xml:space="preserve">: </w:t>
      </w:r>
      <w:r>
        <w:rPr>
          <w:color w:val="003199"/>
        </w:rPr>
        <w:t xml:space="preserve">Guideline on the clinical investigation of medicinal products for the treatment of </w:t>
      </w:r>
      <w:r w:rsidR="00A530C4">
        <w:rPr>
          <w:color w:val="003199"/>
        </w:rPr>
        <w:t>Ulcerative Colitis</w:t>
      </w:r>
      <w:r>
        <w:rPr>
          <w:color w:val="003199"/>
        </w:rPr>
        <w:t xml:space="preserve"> - </w:t>
      </w:r>
      <w:r w:rsidR="00A530C4">
        <w:rPr>
          <w:color w:val="003199"/>
        </w:rPr>
        <w:t>CH</w:t>
      </w:r>
      <w:r w:rsidRPr="00CC2FB8">
        <w:rPr>
          <w:color w:val="003199"/>
        </w:rPr>
        <w:t>MP/EWP/</w:t>
      </w:r>
      <w:r w:rsidR="00A530C4">
        <w:rPr>
          <w:color w:val="003199"/>
        </w:rPr>
        <w:t>18463/2006</w:t>
      </w:r>
      <w:r w:rsidRPr="00CC2FB8">
        <w:rPr>
          <w:color w:val="003199"/>
        </w:rPr>
        <w:t xml:space="preserve"> Rev.1</w:t>
      </w:r>
      <w:r>
        <w:rPr>
          <w:sz w:val="17"/>
          <w:szCs w:val="17"/>
        </w:rPr>
        <w:t xml:space="preserve"> </w:t>
      </w:r>
      <w:r>
        <w:rPr>
          <w:color w:val="003199"/>
        </w:rPr>
        <w:t xml:space="preserve"> </w:t>
      </w:r>
    </w:p>
    <w:p w14:paraId="0954CB8A" w14:textId="77777777" w:rsidR="00CC2FB8" w:rsidRPr="00CC2FB8" w:rsidRDefault="00CC2FB8" w:rsidP="00CC2FB8">
      <w:pPr>
        <w:pStyle w:val="DocsubtitleAgency"/>
      </w:pPr>
    </w:p>
    <w:p w14:paraId="1511312C" w14:textId="77777777" w:rsidR="005D6621" w:rsidRDefault="005D6621">
      <w:pPr>
        <w:pStyle w:val="No-TOCheadingAgency"/>
      </w:pPr>
      <w:r>
        <w:t>Comments from:</w:t>
      </w:r>
      <w:r w:rsidR="0022651D">
        <w:t xml:space="preserve"> </w:t>
      </w:r>
      <w:r w:rsidR="00BB356B">
        <w:t>EFPIA</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1887BD33" w14:textId="77777777">
        <w:trPr>
          <w:tblHeader/>
        </w:trPr>
        <w:tc>
          <w:tcPr>
            <w:tcW w:w="5000" w:type="pct"/>
            <w:tcBorders>
              <w:top w:val="nil"/>
              <w:left w:val="nil"/>
              <w:bottom w:val="nil"/>
              <w:right w:val="nil"/>
            </w:tcBorders>
            <w:shd w:val="clear" w:color="auto" w:fill="003399"/>
          </w:tcPr>
          <w:p w14:paraId="4F9815C3" w14:textId="77777777" w:rsidR="005D6621" w:rsidRDefault="005D6621">
            <w:pPr>
              <w:pStyle w:val="TableheadingrowsAgency"/>
              <w:rPr>
                <w:b w:val="0"/>
              </w:rPr>
            </w:pPr>
            <w:r>
              <w:rPr>
                <w:b w:val="0"/>
              </w:rPr>
              <w:t>Name of organisation or individual</w:t>
            </w:r>
          </w:p>
        </w:tc>
      </w:tr>
      <w:tr w:rsidR="005D6621" w14:paraId="71C89E9A" w14:textId="77777777">
        <w:tc>
          <w:tcPr>
            <w:tcW w:w="5000" w:type="pct"/>
            <w:shd w:val="clear" w:color="auto" w:fill="E1E3F2"/>
          </w:tcPr>
          <w:p w14:paraId="2A71FB76" w14:textId="77777777" w:rsidR="005D6621" w:rsidRPr="0078658C" w:rsidRDefault="00BB356B" w:rsidP="00D20D70">
            <w:pPr>
              <w:pStyle w:val="TabletextrowsAgency"/>
              <w:rPr>
                <w:rFonts w:ascii="Times New Roman" w:hAnsi="Times New Roman"/>
                <w:sz w:val="22"/>
                <w:szCs w:val="22"/>
                <w:lang w:val="fr-FR"/>
              </w:rPr>
            </w:pPr>
            <w:r>
              <w:rPr>
                <w:rFonts w:ascii="Times New Roman" w:hAnsi="Times New Roman"/>
                <w:sz w:val="22"/>
                <w:szCs w:val="22"/>
                <w:lang w:val="fr-FR"/>
              </w:rPr>
              <w:t>Tiia Metiäinen – tiia.metiainen@efpia.eu</w:t>
            </w:r>
          </w:p>
        </w:tc>
      </w:tr>
    </w:tbl>
    <w:p w14:paraId="387977C0" w14:textId="77777777" w:rsidR="005D6621" w:rsidRDefault="005D6621">
      <w:pPr>
        <w:pStyle w:val="BodytextAgency"/>
      </w:pPr>
    </w:p>
    <w:p w14:paraId="26F3D9B1" w14:textId="77777777" w:rsidR="005D6621" w:rsidRDefault="005D6621">
      <w:pPr>
        <w:pStyle w:val="BodytextAgency"/>
        <w:rPr>
          <w:i/>
        </w:rPr>
      </w:pPr>
      <w:r>
        <w:rPr>
          <w:i/>
        </w:rPr>
        <w:t>Please note that these comments and the identity of the sender will be published unless a specific justified objection is received.</w:t>
      </w:r>
    </w:p>
    <w:p w14:paraId="73F32614" w14:textId="77777777" w:rsidR="005D6621" w:rsidRDefault="005D6621">
      <w:pPr>
        <w:pStyle w:val="BodytextAgency"/>
        <w:rPr>
          <w:i/>
        </w:rPr>
      </w:pPr>
      <w:r>
        <w:rPr>
          <w:i/>
        </w:rPr>
        <w:t>When completed, this form should be sent to the European Medicines Agency electronically, in Word format (not PDF).</w:t>
      </w:r>
    </w:p>
    <w:p w14:paraId="5208B1BE" w14:textId="77777777" w:rsidR="005D6621" w:rsidRDefault="005D6621">
      <w:pPr>
        <w:pStyle w:val="BodytextAgency"/>
      </w:pPr>
    </w:p>
    <w:p w14:paraId="3297B631" w14:textId="77777777" w:rsidR="005D6621" w:rsidRDefault="005D6621">
      <w:pPr>
        <w:pStyle w:val="BodytextAgency"/>
      </w:pPr>
    </w:p>
    <w:p w14:paraId="01354C6C" w14:textId="77777777" w:rsidR="005D6621" w:rsidRDefault="005D6621">
      <w:pPr>
        <w:pStyle w:val="BodytextAgency"/>
        <w:sectPr w:rsidR="005D6621">
          <w:headerReference w:type="first" r:id="rId12"/>
          <w:pgSz w:w="11907" w:h="16839" w:code="9"/>
          <w:pgMar w:top="1418" w:right="1247" w:bottom="1418" w:left="1247" w:header="284" w:footer="680" w:gutter="0"/>
          <w:cols w:space="720"/>
          <w:titlePg/>
          <w:docGrid w:linePitch="326"/>
        </w:sectPr>
      </w:pPr>
      <w:bookmarkStart w:id="1" w:name="_GoBack"/>
      <w:bookmarkEnd w:id="1"/>
    </w:p>
    <w:p w14:paraId="74C17DCF"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2DB1E0ED" w14:textId="77777777">
        <w:trPr>
          <w:tblHeader/>
        </w:trPr>
        <w:tc>
          <w:tcPr>
            <w:tcW w:w="848" w:type="pct"/>
            <w:tcBorders>
              <w:top w:val="nil"/>
              <w:left w:val="nil"/>
              <w:bottom w:val="nil"/>
              <w:right w:val="nil"/>
            </w:tcBorders>
            <w:shd w:val="clear" w:color="auto" w:fill="003399"/>
          </w:tcPr>
          <w:p w14:paraId="3E045F58" w14:textId="77777777" w:rsidR="005D6621" w:rsidRDefault="005D6621">
            <w:pPr>
              <w:pStyle w:val="TableheadingrowsAgency"/>
              <w:rPr>
                <w:b w:val="0"/>
                <w:bCs/>
              </w:rPr>
            </w:pPr>
            <w:r>
              <w:rPr>
                <w:b w:val="0"/>
                <w:bCs/>
              </w:rPr>
              <w:t>Stakeholder number</w:t>
            </w:r>
          </w:p>
          <w:p w14:paraId="48CA7CA0"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1B1BCECF" w14:textId="77777777" w:rsidR="005D6621" w:rsidRDefault="005D6621">
            <w:pPr>
              <w:pStyle w:val="TableheadingrowsAgency"/>
              <w:rPr>
                <w:b w:val="0"/>
                <w:bCs/>
              </w:rPr>
            </w:pPr>
            <w:r>
              <w:rPr>
                <w:b w:val="0"/>
                <w:bCs/>
              </w:rPr>
              <w:t>General comment (if any)</w:t>
            </w:r>
          </w:p>
          <w:p w14:paraId="14D99605" w14:textId="77777777" w:rsidR="003A06EA" w:rsidRDefault="003A06EA">
            <w:pPr>
              <w:pStyle w:val="TableheadingrowsAgency"/>
              <w:rPr>
                <w:b w:val="0"/>
                <w:bCs/>
              </w:rPr>
            </w:pPr>
          </w:p>
        </w:tc>
        <w:tc>
          <w:tcPr>
            <w:tcW w:w="2313" w:type="pct"/>
            <w:tcBorders>
              <w:top w:val="nil"/>
              <w:left w:val="nil"/>
              <w:bottom w:val="nil"/>
              <w:right w:val="nil"/>
            </w:tcBorders>
            <w:shd w:val="clear" w:color="auto" w:fill="003399"/>
          </w:tcPr>
          <w:p w14:paraId="7A5D07D8" w14:textId="77777777" w:rsidR="005D6621" w:rsidRDefault="005D6621">
            <w:pPr>
              <w:pStyle w:val="TableheadingrowsAgency"/>
              <w:rPr>
                <w:b w:val="0"/>
                <w:bCs/>
              </w:rPr>
            </w:pPr>
            <w:r>
              <w:rPr>
                <w:b w:val="0"/>
                <w:bCs/>
              </w:rPr>
              <w:t>Outcome (if applicable)</w:t>
            </w:r>
          </w:p>
          <w:p w14:paraId="5E02D4FD" w14:textId="77777777" w:rsidR="005D6621" w:rsidRDefault="005D6621">
            <w:pPr>
              <w:pStyle w:val="TableheadingrowsAgency"/>
              <w:rPr>
                <w:b w:val="0"/>
                <w:bCs/>
                <w:i/>
                <w:color w:val="339966"/>
              </w:rPr>
            </w:pPr>
            <w:r>
              <w:rPr>
                <w:i/>
                <w:color w:val="339966"/>
              </w:rPr>
              <w:t>(To be completed by the Agency)</w:t>
            </w:r>
            <w:r w:rsidR="00B76B13">
              <w:rPr>
                <w:i/>
                <w:color w:val="339966"/>
              </w:rPr>
              <w:t xml:space="preserve"> </w:t>
            </w:r>
            <w:r w:rsidR="003C540C" w:rsidRPr="003C540C">
              <w:rPr>
                <w:i/>
                <w:color w:val="FFFFFF" w:themeColor="background1"/>
              </w:rPr>
              <w:t>or</w:t>
            </w:r>
            <w:r w:rsidR="00B76B13" w:rsidRPr="00B76B13">
              <w:rPr>
                <w:i/>
                <w:color w:val="FFFFFF" w:themeColor="background1"/>
              </w:rPr>
              <w:t>der</w:t>
            </w:r>
            <w:r w:rsidR="00B76B13">
              <w:rPr>
                <w:i/>
                <w:color w:val="FFFFFF" w:themeColor="background1"/>
              </w:rPr>
              <w:t>ed</w:t>
            </w:r>
            <w:r w:rsidR="003C540C" w:rsidRPr="003C540C">
              <w:rPr>
                <w:i/>
                <w:color w:val="FFFFFF" w:themeColor="background1"/>
              </w:rPr>
              <w:t xml:space="preserve"> comments by topic appearance in document</w:t>
            </w:r>
          </w:p>
        </w:tc>
      </w:tr>
      <w:tr w:rsidR="00233AB9" w:rsidRPr="00F73253" w14:paraId="00F14E6F" w14:textId="77777777">
        <w:tc>
          <w:tcPr>
            <w:tcW w:w="848" w:type="pct"/>
            <w:shd w:val="clear" w:color="auto" w:fill="E1E3F2"/>
          </w:tcPr>
          <w:p w14:paraId="1C0EB6F9" w14:textId="43B6CC40" w:rsidR="00233AB9" w:rsidRPr="006A6EA0" w:rsidRDefault="00233AB9" w:rsidP="00A4724A">
            <w:pPr>
              <w:pStyle w:val="TabletextrowsAgency"/>
              <w:spacing w:line="240" w:lineRule="auto"/>
              <w:rPr>
                <w:b/>
                <w:highlight w:val="cyan"/>
              </w:rPr>
            </w:pPr>
          </w:p>
        </w:tc>
        <w:tc>
          <w:tcPr>
            <w:tcW w:w="1839" w:type="pct"/>
            <w:shd w:val="clear" w:color="auto" w:fill="E1E3F2"/>
          </w:tcPr>
          <w:p w14:paraId="7B8E1DE2" w14:textId="617F66F0" w:rsidR="00233AB9" w:rsidRDefault="00233AB9" w:rsidP="00A4724A">
            <w:pPr>
              <w:pStyle w:val="TabletextrowsAgency"/>
              <w:spacing w:line="240" w:lineRule="auto"/>
            </w:pPr>
            <w:r>
              <w:t xml:space="preserve">The guidance is comprehensive and incorporates many of the recommendations made in the review and comment process on the UC Concept Paper from 2014.  The guidance however omits consideration of Response Rates in the induction or remission phase of disease treatment as a primary efficacy endpoint for approval.  This appears to overlook the importance of response to therapy in the moderate to severe population. It also does not seem to be aligned with attaining the indication for “treatment of active ulcerative colitis” as described in section 5 ‘ Indications/treatment goals’.  It is our position that a pre-defined ‘Response’ criteria can represent clinically meaningful “treatment of active ulcerative colitis” and we would recommend CHMP consider incorporating language into the guidance </w:t>
            </w:r>
            <w:proofErr w:type="gramStart"/>
            <w:r>
              <w:t>relating  to</w:t>
            </w:r>
            <w:proofErr w:type="gramEnd"/>
            <w:r>
              <w:t xml:space="preserve"> ‘Clinical Response’ as not only a secondary endpoint but a primary endpoint for pivotal registration trials. </w:t>
            </w:r>
          </w:p>
        </w:tc>
        <w:tc>
          <w:tcPr>
            <w:tcW w:w="2313" w:type="pct"/>
            <w:shd w:val="clear" w:color="auto" w:fill="E1E3F2"/>
          </w:tcPr>
          <w:p w14:paraId="161D667C" w14:textId="77777777" w:rsidR="00233AB9" w:rsidRPr="00F73253" w:rsidRDefault="00233AB9" w:rsidP="0044604D">
            <w:pPr>
              <w:pStyle w:val="TabletextrowsAgency"/>
              <w:rPr>
                <w:b/>
                <w:color w:val="0000CC"/>
              </w:rPr>
            </w:pPr>
          </w:p>
        </w:tc>
      </w:tr>
      <w:tr w:rsidR="00233AB9" w14:paraId="7F131035" w14:textId="77777777">
        <w:tc>
          <w:tcPr>
            <w:tcW w:w="848" w:type="pct"/>
            <w:shd w:val="clear" w:color="auto" w:fill="E1E3F2"/>
          </w:tcPr>
          <w:p w14:paraId="445AB252" w14:textId="56C687D8" w:rsidR="00233AB9" w:rsidRPr="003F4A0C" w:rsidRDefault="00233AB9">
            <w:pPr>
              <w:pStyle w:val="TabletextrowsAgency"/>
              <w:rPr>
                <w:b/>
              </w:rPr>
            </w:pPr>
          </w:p>
        </w:tc>
        <w:tc>
          <w:tcPr>
            <w:tcW w:w="1839" w:type="pct"/>
            <w:shd w:val="clear" w:color="auto" w:fill="E1E3F2"/>
          </w:tcPr>
          <w:p w14:paraId="6677BDE4" w14:textId="77777777" w:rsidR="003F4A0C" w:rsidRDefault="003F4A0C" w:rsidP="00A4724A">
            <w:pPr>
              <w:pStyle w:val="TabletextrowsAgency"/>
              <w:spacing w:line="240" w:lineRule="auto"/>
            </w:pPr>
            <w:r>
              <w:t xml:space="preserve">We welcome the availability of these updated guidelines. However, we have 3 main areas of concern, where the EMA proposed changes to the guidelines would dramatically affect the availability of new and potentially effective medications for Ulcerative Colitis and </w:t>
            </w:r>
            <w:proofErr w:type="spellStart"/>
            <w:r>
              <w:t>Crohn’s</w:t>
            </w:r>
            <w:proofErr w:type="spellEnd"/>
            <w:r>
              <w:t xml:space="preserve"> disease in the European Union.  We view that this is </w:t>
            </w:r>
            <w:r w:rsidRPr="009C7867">
              <w:t>contrary to the EMA’s mission to “facilitate development and access to medicines”, leading to “timely patient access to new medicines”</w:t>
            </w:r>
            <w:r>
              <w:t>.</w:t>
            </w:r>
          </w:p>
          <w:p w14:paraId="1ABCD1C9" w14:textId="77777777" w:rsidR="003F4A0C" w:rsidRDefault="003F4A0C" w:rsidP="00A4724A">
            <w:pPr>
              <w:pStyle w:val="TabletextrowsAgency"/>
              <w:numPr>
                <w:ilvl w:val="0"/>
                <w:numId w:val="42"/>
              </w:numPr>
              <w:spacing w:line="240" w:lineRule="auto"/>
            </w:pPr>
            <w:r>
              <w:t>‘Maintenance of remission/Prevention of relapse’: primary endpoint of “</w:t>
            </w:r>
            <w:r w:rsidRPr="009C7867">
              <w:rPr>
                <w:b/>
              </w:rPr>
              <w:t>maintenance of corticosteroid-free remission without surgery throughout at least 12 month</w:t>
            </w:r>
            <w:r w:rsidRPr="00172CF9">
              <w:rPr>
                <w:b/>
              </w:rPr>
              <w:t>s</w:t>
            </w:r>
            <w:r>
              <w:t>”</w:t>
            </w:r>
          </w:p>
          <w:p w14:paraId="58C8CC75" w14:textId="77777777" w:rsidR="003F4A0C" w:rsidRDefault="003F4A0C" w:rsidP="00A4724A">
            <w:pPr>
              <w:pStyle w:val="TabletextrowsAgency"/>
              <w:spacing w:line="240" w:lineRule="auto"/>
            </w:pPr>
            <w:r>
              <w:t xml:space="preserve">The Agency’s suggested primary endpoint of “maintenance of corticosteroid-free remission without </w:t>
            </w:r>
            <w:r>
              <w:lastRenderedPageBreak/>
              <w:t xml:space="preserve">surgery throughout at least 12 months” is a laudable aspiration, but is not a feasible endpoint for currently available medications.  Mandating this endpoint in the EU will impose a requirement for very large maintenance cohorts, with treatment durations of longer than 12 months, making both the size and cost of maintenance studies unfeasible.  </w:t>
            </w:r>
          </w:p>
          <w:p w14:paraId="2A588670" w14:textId="77777777" w:rsidR="003F4A0C" w:rsidRDefault="003F4A0C" w:rsidP="00A4724A">
            <w:pPr>
              <w:pStyle w:val="TabletextrowsAgency"/>
              <w:numPr>
                <w:ilvl w:val="0"/>
                <w:numId w:val="42"/>
              </w:numPr>
              <w:spacing w:line="240" w:lineRule="auto"/>
            </w:pPr>
            <w:r w:rsidRPr="00304E0F">
              <w:rPr>
                <w:b/>
              </w:rPr>
              <w:t>Co-primary endpoint</w:t>
            </w:r>
            <w:r>
              <w:rPr>
                <w:b/>
              </w:rPr>
              <w:t>s</w:t>
            </w:r>
            <w:r>
              <w:t xml:space="preserve"> </w:t>
            </w:r>
          </w:p>
          <w:p w14:paraId="212A39AD" w14:textId="77777777" w:rsidR="003F4A0C" w:rsidRDefault="003F4A0C" w:rsidP="00A4724A">
            <w:pPr>
              <w:pStyle w:val="TabletextrowsAgency"/>
              <w:spacing w:line="240" w:lineRule="auto"/>
            </w:pPr>
            <w:r>
              <w:t xml:space="preserve">Draft UC Guidance suggests a “Co-Primary” endpoint approach that considers both symptomatic relief as well as an effect on the inflammatory process rather than the more commonly used Composite indices, such as the Mayo Clinical index.   In the FDA’s Ulcerative Colitis: Clinical Trial Endpoints Guidance for Industry released Aug 2016, a </w:t>
            </w:r>
            <w:r w:rsidRPr="008742CB">
              <w:rPr>
                <w:b/>
              </w:rPr>
              <w:t>composite</w:t>
            </w:r>
            <w:r w:rsidRPr="00650638">
              <w:rPr>
                <w:b/>
              </w:rPr>
              <w:t xml:space="preserve"> </w:t>
            </w:r>
            <w:r>
              <w:t>endpoint which includes an assessment of signs and symptoms and endoscopic improvement is proposed.</w:t>
            </w:r>
          </w:p>
          <w:p w14:paraId="6BF36428" w14:textId="77777777" w:rsidR="003F4A0C" w:rsidRDefault="003F4A0C" w:rsidP="00A4724A">
            <w:pPr>
              <w:pStyle w:val="TabletextrowsAgency"/>
              <w:spacing w:line="240" w:lineRule="auto"/>
            </w:pPr>
          </w:p>
          <w:p w14:paraId="73564937" w14:textId="77777777" w:rsidR="003F4A0C" w:rsidRDefault="003F4A0C" w:rsidP="008F7B6C">
            <w:pPr>
              <w:pStyle w:val="TabletextrowsAgency"/>
              <w:spacing w:line="240" w:lineRule="auto"/>
            </w:pPr>
            <w:r>
              <w:t>Our views that the diverging definitions of the primary endpoints could prove to be problematic and a shift to a more consistent desired primary endpoint definition between regional guidance would be of benefit to patients.</w:t>
            </w:r>
          </w:p>
          <w:p w14:paraId="5043B864" w14:textId="77777777" w:rsidR="003F4A0C" w:rsidRDefault="003F4A0C" w:rsidP="00A4724A">
            <w:pPr>
              <w:pStyle w:val="TabletextrowsAgency"/>
              <w:numPr>
                <w:ilvl w:val="0"/>
                <w:numId w:val="42"/>
              </w:numPr>
              <w:spacing w:line="240" w:lineRule="auto"/>
              <w:rPr>
                <w:b/>
              </w:rPr>
            </w:pPr>
            <w:r w:rsidRPr="00134B09">
              <w:rPr>
                <w:b/>
              </w:rPr>
              <w:t>Design of maintenance trial</w:t>
            </w:r>
          </w:p>
          <w:p w14:paraId="5105C671" w14:textId="77777777" w:rsidR="00233AB9" w:rsidRDefault="003F4A0C" w:rsidP="008F7B6C">
            <w:pPr>
              <w:pStyle w:val="TabletextrowsAgency"/>
              <w:spacing w:line="240" w:lineRule="auto"/>
            </w:pPr>
            <w:r w:rsidRPr="0085125B">
              <w:t>Including only remitters in the primary analysis makes the sample size needed</w:t>
            </w:r>
            <w:r>
              <w:t xml:space="preserve"> in induction infeasible; the induction phase</w:t>
            </w:r>
            <w:r w:rsidRPr="0085125B">
              <w:t xml:space="preserve"> is not </w:t>
            </w:r>
            <w:r>
              <w:t xml:space="preserve">anticipated </w:t>
            </w:r>
            <w:r w:rsidRPr="0085125B">
              <w:t>to be long enough to wean patients from steroids, and finally, many patients that are responders and not remitters at the end of induction achieve remission by the end of maintenance.</w:t>
            </w:r>
          </w:p>
        </w:tc>
        <w:tc>
          <w:tcPr>
            <w:tcW w:w="2313" w:type="pct"/>
            <w:shd w:val="clear" w:color="auto" w:fill="E1E3F2"/>
          </w:tcPr>
          <w:p w14:paraId="659ACF64" w14:textId="77777777" w:rsidR="00233AB9" w:rsidRDefault="00233AB9">
            <w:pPr>
              <w:pStyle w:val="TabletextrowsAgency"/>
            </w:pPr>
          </w:p>
        </w:tc>
      </w:tr>
      <w:tr w:rsidR="00414B29" w14:paraId="387D9718" w14:textId="77777777">
        <w:tc>
          <w:tcPr>
            <w:tcW w:w="848" w:type="pct"/>
            <w:shd w:val="clear" w:color="auto" w:fill="E1E3F2"/>
          </w:tcPr>
          <w:p w14:paraId="1961BC24" w14:textId="19564615" w:rsidR="00414B29" w:rsidRPr="006A6EA0" w:rsidRDefault="00414B29" w:rsidP="00570D09">
            <w:pPr>
              <w:pStyle w:val="TabletextrowsAgency"/>
              <w:spacing w:line="240" w:lineRule="auto"/>
              <w:rPr>
                <w:b/>
                <w:highlight w:val="cyan"/>
              </w:rPr>
            </w:pPr>
          </w:p>
        </w:tc>
        <w:tc>
          <w:tcPr>
            <w:tcW w:w="1839" w:type="pct"/>
            <w:shd w:val="clear" w:color="auto" w:fill="E1E3F2"/>
          </w:tcPr>
          <w:p w14:paraId="557B605B" w14:textId="77777777" w:rsidR="00414B29" w:rsidRDefault="00414B29" w:rsidP="00570D09">
            <w:pPr>
              <w:pStyle w:val="TabletextrowsAgency"/>
              <w:spacing w:line="240" w:lineRule="auto"/>
            </w:pPr>
            <w:r w:rsidRPr="00E208BA">
              <w:t xml:space="preserve">While we are supportive of </w:t>
            </w:r>
            <w:r>
              <w:t>EMA draft</w:t>
            </w:r>
            <w:r w:rsidRPr="00E208BA">
              <w:t xml:space="preserve"> guidance, one topic that we believe the guidance should discuss in greater detail is the treatment of patients that have been previously exposed to other therapies.  For sponsors, it is critical to have clear expectations from the </w:t>
            </w:r>
            <w:r>
              <w:t xml:space="preserve">EMA </w:t>
            </w:r>
            <w:r w:rsidRPr="00E208BA">
              <w:t xml:space="preserve">because the mucosal healing in these hard-to-treat </w:t>
            </w:r>
            <w:r w:rsidRPr="00E208BA">
              <w:lastRenderedPageBreak/>
              <w:t>patients is very likely to be reduced.  Because the definitions of response have been altered, new drugs that offer incremental benefits to patients who are without remaining treatment options may no longer be pursued by sponsors. Historical evidence demonstrates that improvements in the pharmacological treatment of patients with ulcerative colitis occurred in small steps, yet these products were welcomed by patients and physicians because they represented additional treatment options even though they may not be considered “transformative” products.</w:t>
            </w:r>
          </w:p>
          <w:p w14:paraId="792C747F" w14:textId="77777777" w:rsidR="00414B29" w:rsidRPr="00EA6573" w:rsidRDefault="00414B29" w:rsidP="00570D09">
            <w:pPr>
              <w:pStyle w:val="TabletextrowsAgency"/>
              <w:spacing w:line="240" w:lineRule="auto"/>
            </w:pPr>
          </w:p>
        </w:tc>
        <w:tc>
          <w:tcPr>
            <w:tcW w:w="2313" w:type="pct"/>
            <w:shd w:val="clear" w:color="auto" w:fill="E1E3F2"/>
          </w:tcPr>
          <w:p w14:paraId="397E2C7D" w14:textId="77777777" w:rsidR="00414B29" w:rsidRDefault="00414B29" w:rsidP="00BD733E">
            <w:pPr>
              <w:pStyle w:val="TabletextrowsAgency"/>
            </w:pPr>
          </w:p>
        </w:tc>
      </w:tr>
      <w:tr w:rsidR="00414B29" w14:paraId="114A42BC" w14:textId="77777777">
        <w:tc>
          <w:tcPr>
            <w:tcW w:w="848" w:type="pct"/>
            <w:shd w:val="clear" w:color="auto" w:fill="E1E3F2"/>
          </w:tcPr>
          <w:p w14:paraId="451A4BD6" w14:textId="1DCB5A97" w:rsidR="00414B29" w:rsidRPr="006A6EA0" w:rsidRDefault="00414B29" w:rsidP="00BD733E">
            <w:pPr>
              <w:pStyle w:val="TabletextrowsAgency"/>
              <w:spacing w:line="240" w:lineRule="auto"/>
              <w:rPr>
                <w:b/>
                <w:highlight w:val="cyan"/>
              </w:rPr>
            </w:pPr>
          </w:p>
        </w:tc>
        <w:tc>
          <w:tcPr>
            <w:tcW w:w="1839" w:type="pct"/>
            <w:shd w:val="clear" w:color="auto" w:fill="E1E3F2"/>
          </w:tcPr>
          <w:p w14:paraId="1CDC1B99" w14:textId="77777777" w:rsidR="00414B29" w:rsidRPr="00E208BA" w:rsidRDefault="00414B29" w:rsidP="00BD733E">
            <w:pPr>
              <w:pStyle w:val="TabletextrowsAgency"/>
              <w:spacing w:line="240" w:lineRule="auto"/>
            </w:pPr>
            <w:r>
              <w:t xml:space="preserve">As the draft guideline states, UC is rare below 10 years of age. Yet the clinical development is asked to include patients from 2 years of age. Fully-powered clinical efficacy studies in the paediatric population 2 – 10 years of age might not be feasible due to the low patient numbers. Therefore clarification is needed on what is expected to be demonstrated in those children. </w:t>
            </w:r>
          </w:p>
        </w:tc>
        <w:tc>
          <w:tcPr>
            <w:tcW w:w="2313" w:type="pct"/>
            <w:shd w:val="clear" w:color="auto" w:fill="E1E3F2"/>
          </w:tcPr>
          <w:p w14:paraId="431B81AB" w14:textId="77777777" w:rsidR="00414B29" w:rsidRDefault="00414B29" w:rsidP="00BD733E">
            <w:pPr>
              <w:pStyle w:val="TabletextrowsAgency"/>
            </w:pPr>
          </w:p>
        </w:tc>
      </w:tr>
      <w:tr w:rsidR="00414B29" w14:paraId="131F21E8" w14:textId="77777777">
        <w:tc>
          <w:tcPr>
            <w:tcW w:w="848" w:type="pct"/>
            <w:shd w:val="clear" w:color="auto" w:fill="E1E3F2"/>
          </w:tcPr>
          <w:p w14:paraId="68EECFF4" w14:textId="1D5F06DC" w:rsidR="00414B29" w:rsidRPr="00714996" w:rsidRDefault="00414B29">
            <w:pPr>
              <w:pStyle w:val="TabletextrowsAgency"/>
              <w:rPr>
                <w:b/>
              </w:rPr>
            </w:pPr>
          </w:p>
        </w:tc>
        <w:tc>
          <w:tcPr>
            <w:tcW w:w="1839" w:type="pct"/>
            <w:shd w:val="clear" w:color="auto" w:fill="E1E3F2"/>
          </w:tcPr>
          <w:p w14:paraId="2CACC38B" w14:textId="77777777" w:rsidR="00414B29" w:rsidRDefault="00414B29" w:rsidP="00714996">
            <w:pPr>
              <w:pStyle w:val="TabletextrowsAgency"/>
              <w:spacing w:line="240" w:lineRule="auto"/>
            </w:pPr>
            <w:r w:rsidRPr="00BF23BE">
              <w:rPr>
                <w:b/>
              </w:rPr>
              <w:t>Comments:</w:t>
            </w:r>
            <w:r>
              <w:t xml:space="preserve"> It would be helpful to understand if EMA recommends any specific guidance to be followed when developing and validating PRO instruments. Examples are the Good Practice in Outcomes Research from the ISPOR or other institutions and the U.S. FDA “Guidance for Industry Patient-Reported Outcome Measures: use in Medical Product Development to Support </w:t>
            </w:r>
            <w:proofErr w:type="spellStart"/>
            <w:r>
              <w:t>Labeling</w:t>
            </w:r>
            <w:proofErr w:type="spellEnd"/>
            <w:r>
              <w:t xml:space="preserve"> Claims”.</w:t>
            </w:r>
          </w:p>
        </w:tc>
        <w:tc>
          <w:tcPr>
            <w:tcW w:w="2313" w:type="pct"/>
            <w:shd w:val="clear" w:color="auto" w:fill="E1E3F2"/>
          </w:tcPr>
          <w:p w14:paraId="7AD687A8" w14:textId="77777777" w:rsidR="00414B29" w:rsidRDefault="00414B29">
            <w:pPr>
              <w:pStyle w:val="TabletextrowsAgency"/>
            </w:pPr>
          </w:p>
        </w:tc>
      </w:tr>
    </w:tbl>
    <w:p w14:paraId="2C648E16" w14:textId="77777777" w:rsidR="005D6621" w:rsidRDefault="005D6621">
      <w:pPr>
        <w:pStyle w:val="BodytextAgency"/>
      </w:pPr>
    </w:p>
    <w:p w14:paraId="28AB9C70" w14:textId="77777777" w:rsidR="005D6621" w:rsidRDefault="005D6621">
      <w:pPr>
        <w:pStyle w:val="Heading1Agency"/>
        <w:pageBreakBefore/>
      </w:pPr>
      <w:r>
        <w:t>Specific comments on text</w:t>
      </w:r>
      <w:r w:rsidR="00BD733E">
        <w:t xml:space="preserve"> – Major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14:paraId="32F328B0" w14:textId="77777777">
        <w:trPr>
          <w:tblHeader/>
        </w:trPr>
        <w:tc>
          <w:tcPr>
            <w:tcW w:w="645" w:type="pct"/>
            <w:tcBorders>
              <w:top w:val="nil"/>
              <w:left w:val="nil"/>
              <w:bottom w:val="nil"/>
              <w:right w:val="nil"/>
            </w:tcBorders>
            <w:shd w:val="clear" w:color="auto" w:fill="003399"/>
          </w:tcPr>
          <w:p w14:paraId="5A9D423D" w14:textId="77777777" w:rsidR="005D6621" w:rsidRDefault="005D6621">
            <w:pPr>
              <w:pStyle w:val="TableheadingrowsAgency"/>
              <w:rPr>
                <w:b w:val="0"/>
              </w:rPr>
            </w:pPr>
            <w:r>
              <w:rPr>
                <w:b w:val="0"/>
              </w:rPr>
              <w:t>Line number(s) of the relevant text</w:t>
            </w:r>
          </w:p>
          <w:p w14:paraId="5E02F7EC" w14:textId="77777777" w:rsidR="005D6621" w:rsidRDefault="005D6621">
            <w:pPr>
              <w:pStyle w:val="TableheadingrowsAgency"/>
              <w:rPr>
                <w:b w:val="0"/>
                <w:i/>
                <w:color w:val="339966"/>
              </w:rPr>
            </w:pPr>
            <w:r>
              <w:rPr>
                <w:i/>
                <w:color w:val="339966"/>
              </w:rPr>
              <w:t>(e.g. Lines 20-23)</w:t>
            </w:r>
          </w:p>
        </w:tc>
        <w:tc>
          <w:tcPr>
            <w:tcW w:w="812" w:type="pct"/>
            <w:tcBorders>
              <w:top w:val="nil"/>
              <w:left w:val="nil"/>
              <w:bottom w:val="nil"/>
              <w:right w:val="nil"/>
            </w:tcBorders>
            <w:shd w:val="clear" w:color="auto" w:fill="003399"/>
          </w:tcPr>
          <w:p w14:paraId="32EE09CD" w14:textId="77777777" w:rsidR="005D6621" w:rsidRDefault="005D6621">
            <w:pPr>
              <w:pStyle w:val="TableheadingrowsAgency"/>
              <w:rPr>
                <w:b w:val="0"/>
              </w:rPr>
            </w:pPr>
            <w:r>
              <w:rPr>
                <w:b w:val="0"/>
              </w:rPr>
              <w:t>Stakeholder number</w:t>
            </w:r>
          </w:p>
          <w:p w14:paraId="70FADAFB" w14:textId="77777777" w:rsidR="005D6621" w:rsidRDefault="005D6621">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62AFC365" w14:textId="77777777" w:rsidR="005D6621" w:rsidRDefault="005D6621">
            <w:pPr>
              <w:pStyle w:val="TableheadingrowsAgency"/>
              <w:rPr>
                <w:b w:val="0"/>
              </w:rPr>
            </w:pPr>
            <w:r>
              <w:rPr>
                <w:b w:val="0"/>
              </w:rPr>
              <w:t>Comment and rationale; proposed changes</w:t>
            </w:r>
          </w:p>
          <w:p w14:paraId="0BE7EF68"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5BD829F8" w14:textId="77777777" w:rsidR="005D6621" w:rsidRDefault="005D6621">
            <w:pPr>
              <w:pStyle w:val="TableheadingrowsAgency"/>
              <w:rPr>
                <w:b w:val="0"/>
              </w:rPr>
            </w:pPr>
            <w:r>
              <w:rPr>
                <w:b w:val="0"/>
              </w:rPr>
              <w:t>Outcome</w:t>
            </w:r>
          </w:p>
          <w:p w14:paraId="0ECEE9FC" w14:textId="77777777" w:rsidR="005D6621" w:rsidRDefault="005D6621">
            <w:pPr>
              <w:pStyle w:val="TableheadingrowsAgency"/>
              <w:rPr>
                <w:b w:val="0"/>
              </w:rPr>
            </w:pPr>
            <w:r>
              <w:rPr>
                <w:i/>
                <w:color w:val="339966"/>
              </w:rPr>
              <w:t>(To be completed by the Agency)</w:t>
            </w:r>
          </w:p>
        </w:tc>
      </w:tr>
      <w:tr w:rsidR="00976B68" w14:paraId="6E9779BF" w14:textId="77777777">
        <w:tc>
          <w:tcPr>
            <w:tcW w:w="645" w:type="pct"/>
            <w:shd w:val="clear" w:color="auto" w:fill="E1E3F2"/>
          </w:tcPr>
          <w:p w14:paraId="356CADFF" w14:textId="77777777" w:rsidR="00976B68" w:rsidRPr="00561BA0" w:rsidRDefault="00976B68" w:rsidP="00A4724A">
            <w:pPr>
              <w:pStyle w:val="TabletextrowsAgency"/>
              <w:spacing w:line="240" w:lineRule="auto"/>
            </w:pPr>
            <w:r>
              <w:t>98-110</w:t>
            </w:r>
          </w:p>
        </w:tc>
        <w:tc>
          <w:tcPr>
            <w:tcW w:w="812" w:type="pct"/>
            <w:shd w:val="clear" w:color="auto" w:fill="E1E3F2"/>
          </w:tcPr>
          <w:p w14:paraId="255BE31C" w14:textId="6196DBA5" w:rsidR="00976B68" w:rsidRPr="00976B68" w:rsidRDefault="00976B68" w:rsidP="00A4724A">
            <w:pPr>
              <w:pStyle w:val="TabletextrowsAgency"/>
              <w:spacing w:line="240" w:lineRule="auto"/>
              <w:rPr>
                <w:b/>
              </w:rPr>
            </w:pPr>
          </w:p>
        </w:tc>
        <w:tc>
          <w:tcPr>
            <w:tcW w:w="2006" w:type="pct"/>
            <w:shd w:val="clear" w:color="auto" w:fill="E1E3F2"/>
          </w:tcPr>
          <w:p w14:paraId="512469FC" w14:textId="77777777" w:rsidR="00976B68" w:rsidRDefault="00976B68" w:rsidP="00A4724A">
            <w:pPr>
              <w:pStyle w:val="TabletextrowsAgency"/>
              <w:spacing w:line="240" w:lineRule="auto"/>
            </w:pPr>
            <w:r w:rsidRPr="002A6DC3">
              <w:rPr>
                <w:b/>
              </w:rPr>
              <w:t>Comment:</w:t>
            </w:r>
            <w:r w:rsidRPr="00F37F45">
              <w:t xml:space="preserve"> Please clarify if the extent of active </w:t>
            </w:r>
            <w:r>
              <w:t>ulcerative colitis</w:t>
            </w:r>
            <w:r w:rsidRPr="00F37F45">
              <w:t xml:space="preserve"> needs to be assessed at entry into study or if historical extent of active disease is acceptable</w:t>
            </w:r>
          </w:p>
        </w:tc>
        <w:tc>
          <w:tcPr>
            <w:tcW w:w="1537" w:type="pct"/>
            <w:shd w:val="clear" w:color="auto" w:fill="E1E3F2"/>
          </w:tcPr>
          <w:p w14:paraId="7D02C6F4" w14:textId="77777777" w:rsidR="00976B68" w:rsidRPr="0044604D" w:rsidRDefault="00976B68">
            <w:pPr>
              <w:pStyle w:val="TabletextrowsAgency"/>
              <w:rPr>
                <w:b/>
                <w:color w:val="333399"/>
              </w:rPr>
            </w:pPr>
          </w:p>
        </w:tc>
      </w:tr>
      <w:tr w:rsidR="00714996" w14:paraId="5E5664E8" w14:textId="77777777">
        <w:tc>
          <w:tcPr>
            <w:tcW w:w="645" w:type="pct"/>
            <w:shd w:val="clear" w:color="auto" w:fill="E1E3F2"/>
          </w:tcPr>
          <w:p w14:paraId="44267F02" w14:textId="77777777" w:rsidR="00714996" w:rsidRDefault="00714996" w:rsidP="00714996">
            <w:pPr>
              <w:pStyle w:val="TabletextrowsAgency"/>
              <w:spacing w:line="240" w:lineRule="auto"/>
            </w:pPr>
            <w:r>
              <w:t>102-103</w:t>
            </w:r>
          </w:p>
        </w:tc>
        <w:tc>
          <w:tcPr>
            <w:tcW w:w="812" w:type="pct"/>
            <w:shd w:val="clear" w:color="auto" w:fill="E1E3F2"/>
          </w:tcPr>
          <w:p w14:paraId="13E35BDA" w14:textId="73752BD8" w:rsidR="00714996" w:rsidRPr="00714996" w:rsidRDefault="00714996" w:rsidP="00714996">
            <w:pPr>
              <w:pStyle w:val="TabletextrowsAgency"/>
              <w:spacing w:line="240" w:lineRule="auto"/>
              <w:rPr>
                <w:b/>
              </w:rPr>
            </w:pPr>
          </w:p>
        </w:tc>
        <w:tc>
          <w:tcPr>
            <w:tcW w:w="2006" w:type="pct"/>
            <w:shd w:val="clear" w:color="auto" w:fill="E1E3F2"/>
          </w:tcPr>
          <w:p w14:paraId="144771CC" w14:textId="77777777" w:rsidR="00714996" w:rsidRDefault="00714996" w:rsidP="00714996">
            <w:pPr>
              <w:pStyle w:val="TabletextrowsAgency"/>
              <w:spacing w:line="240" w:lineRule="auto"/>
            </w:pPr>
            <w:r w:rsidRPr="00BF23BE">
              <w:rPr>
                <w:b/>
                <w:bCs/>
              </w:rPr>
              <w:t>Comment:</w:t>
            </w:r>
            <w:r>
              <w:t xml:space="preserve"> Histological evaluation might be part of the differential diagnosis of UC.  Our data suggest that more than 80% of subjects with a Mayo endoscopy score of &gt; 2 (current eligibility </w:t>
            </w:r>
            <w:proofErr w:type="spellStart"/>
            <w:r>
              <w:t>criterial</w:t>
            </w:r>
            <w:proofErr w:type="spellEnd"/>
            <w:r>
              <w:t xml:space="preserve"> applied in biologic trials) present with histologically active disease. Therefore, we believe that a Mayo endoscopy score &gt;= 2 is a surrogate for histologically active disease at screening. We do not believe that a separate inclusion criterion related to histologic confirmation of UC activity is necessary.</w:t>
            </w:r>
          </w:p>
        </w:tc>
        <w:tc>
          <w:tcPr>
            <w:tcW w:w="1537" w:type="pct"/>
            <w:shd w:val="clear" w:color="auto" w:fill="E1E3F2"/>
          </w:tcPr>
          <w:p w14:paraId="13E54A0C" w14:textId="77777777" w:rsidR="00714996" w:rsidRPr="0044604D" w:rsidRDefault="00714996">
            <w:pPr>
              <w:pStyle w:val="TabletextrowsAgency"/>
              <w:rPr>
                <w:b/>
                <w:color w:val="333399"/>
              </w:rPr>
            </w:pPr>
          </w:p>
        </w:tc>
      </w:tr>
      <w:tr w:rsidR="00236AD4" w14:paraId="7931A9B8" w14:textId="77777777">
        <w:tc>
          <w:tcPr>
            <w:tcW w:w="645" w:type="pct"/>
            <w:shd w:val="clear" w:color="auto" w:fill="E1E3F2"/>
          </w:tcPr>
          <w:p w14:paraId="3369FB1D" w14:textId="77777777" w:rsidR="00236AD4" w:rsidRDefault="00236AD4" w:rsidP="004F133B">
            <w:pPr>
              <w:pStyle w:val="TabletextrowsAgency"/>
              <w:spacing w:line="240" w:lineRule="auto"/>
            </w:pPr>
            <w:r>
              <w:t>123-124</w:t>
            </w:r>
          </w:p>
        </w:tc>
        <w:tc>
          <w:tcPr>
            <w:tcW w:w="812" w:type="pct"/>
            <w:shd w:val="clear" w:color="auto" w:fill="E1E3F2"/>
          </w:tcPr>
          <w:p w14:paraId="03D3516B" w14:textId="711FF4AD" w:rsidR="00236AD4" w:rsidRPr="00BB356B" w:rsidRDefault="00236AD4" w:rsidP="004F133B">
            <w:pPr>
              <w:pStyle w:val="TabletextrowsAgency"/>
              <w:spacing w:line="240" w:lineRule="auto"/>
              <w:rPr>
                <w:b/>
              </w:rPr>
            </w:pPr>
          </w:p>
        </w:tc>
        <w:tc>
          <w:tcPr>
            <w:tcW w:w="2006" w:type="pct"/>
            <w:shd w:val="clear" w:color="auto" w:fill="E1E3F2"/>
          </w:tcPr>
          <w:p w14:paraId="5CE72D18" w14:textId="77777777" w:rsidR="00236AD4" w:rsidRDefault="00236AD4" w:rsidP="004F133B">
            <w:pPr>
              <w:pStyle w:val="TabletextrowsAgency"/>
              <w:spacing w:line="240" w:lineRule="auto"/>
            </w:pPr>
            <w:r>
              <w:t xml:space="preserve">Clinician feedback has indicated that it is not necessary for patients to receive 3 months of treatment with </w:t>
            </w:r>
            <w:proofErr w:type="spellStart"/>
            <w:r>
              <w:t>thiopurines</w:t>
            </w:r>
            <w:proofErr w:type="spellEnd"/>
            <w:r>
              <w:t xml:space="preserve"> in order to know if someone is going to be refractory to those agents.  While achieving the full extent of response to </w:t>
            </w:r>
            <w:proofErr w:type="spellStart"/>
            <w:r>
              <w:t>thiopurines</w:t>
            </w:r>
            <w:proofErr w:type="spellEnd"/>
            <w:r>
              <w:t xml:space="preserve"> may take 90 days, it is possible to know much earlier (e.g., within 30 days) if someone is going to respond to these agents at all. </w:t>
            </w:r>
          </w:p>
          <w:p w14:paraId="2BB9C68A" w14:textId="77777777" w:rsidR="00236AD4" w:rsidRDefault="00236AD4" w:rsidP="004F133B">
            <w:pPr>
              <w:pStyle w:val="TabletextrowsAgency"/>
              <w:spacing w:line="240" w:lineRule="auto"/>
            </w:pPr>
          </w:p>
          <w:p w14:paraId="1102674A" w14:textId="77777777" w:rsidR="00236AD4" w:rsidRDefault="00236AD4" w:rsidP="004F133B">
            <w:pPr>
              <w:pStyle w:val="CommentText"/>
            </w:pPr>
            <w:r w:rsidRPr="005A718B">
              <w:rPr>
                <w:b/>
              </w:rPr>
              <w:t>Proposed Change</w:t>
            </w:r>
            <w:r>
              <w:t>: Please change “3 months” to “6 weeks.”</w:t>
            </w:r>
          </w:p>
          <w:p w14:paraId="24413C7B" w14:textId="77777777" w:rsidR="00236AD4" w:rsidRDefault="00236AD4" w:rsidP="004F133B">
            <w:pPr>
              <w:pStyle w:val="TabletextrowsAgency"/>
              <w:spacing w:line="240" w:lineRule="auto"/>
            </w:pPr>
            <w:r>
              <w:t xml:space="preserve">  </w:t>
            </w:r>
          </w:p>
        </w:tc>
        <w:tc>
          <w:tcPr>
            <w:tcW w:w="1537" w:type="pct"/>
            <w:shd w:val="clear" w:color="auto" w:fill="E1E3F2"/>
          </w:tcPr>
          <w:p w14:paraId="75B9EFCE" w14:textId="77777777" w:rsidR="00236AD4" w:rsidRDefault="00236AD4" w:rsidP="004F133B">
            <w:pPr>
              <w:pStyle w:val="TabletextrowsAgency"/>
            </w:pPr>
          </w:p>
        </w:tc>
      </w:tr>
      <w:tr w:rsidR="00236AD4" w14:paraId="10EC00C5" w14:textId="77777777">
        <w:tc>
          <w:tcPr>
            <w:tcW w:w="645" w:type="pct"/>
            <w:shd w:val="clear" w:color="auto" w:fill="E1E3F2"/>
          </w:tcPr>
          <w:p w14:paraId="0148E9AA" w14:textId="77777777" w:rsidR="00236AD4" w:rsidRDefault="00236AD4" w:rsidP="00A4724A">
            <w:pPr>
              <w:pStyle w:val="TabletextrowsAgency"/>
              <w:spacing w:line="240" w:lineRule="auto"/>
            </w:pPr>
            <w:r>
              <w:t>125</w:t>
            </w:r>
          </w:p>
        </w:tc>
        <w:tc>
          <w:tcPr>
            <w:tcW w:w="812" w:type="pct"/>
            <w:shd w:val="clear" w:color="auto" w:fill="E1E3F2"/>
          </w:tcPr>
          <w:p w14:paraId="6538CEEF" w14:textId="71FA90BF" w:rsidR="00236AD4" w:rsidRDefault="00236AD4" w:rsidP="00A4724A">
            <w:pPr>
              <w:pStyle w:val="TabletextrowsAgency"/>
              <w:spacing w:line="240" w:lineRule="auto"/>
            </w:pPr>
          </w:p>
        </w:tc>
        <w:tc>
          <w:tcPr>
            <w:tcW w:w="2006" w:type="pct"/>
            <w:shd w:val="clear" w:color="auto" w:fill="E1E3F2"/>
          </w:tcPr>
          <w:p w14:paraId="4F679F29" w14:textId="77777777" w:rsidR="00236AD4" w:rsidRDefault="00236AD4" w:rsidP="00A4724A">
            <w:pPr>
              <w:pStyle w:val="TabletextrowsAgency"/>
              <w:spacing w:line="240" w:lineRule="auto"/>
            </w:pPr>
            <w:r w:rsidRPr="00BF23BE">
              <w:rPr>
                <w:b/>
              </w:rPr>
              <w:t>Comment:</w:t>
            </w:r>
            <w:r>
              <w:t xml:space="preserve">  A working definition of “Remission” is proposed to be based on endoscopic mucosal healing, with no or very mild signs.  See proposed change below.  </w:t>
            </w:r>
          </w:p>
          <w:p w14:paraId="5551C242" w14:textId="77777777" w:rsidR="00236AD4" w:rsidRDefault="00236AD4" w:rsidP="00A4724A">
            <w:pPr>
              <w:pStyle w:val="TabletextrowsAgency"/>
              <w:spacing w:line="240" w:lineRule="auto"/>
            </w:pPr>
            <w:r>
              <w:t xml:space="preserve">Suggest making definition(s) of remission consistent with those used in clinical practice and also FDA draft guidance.  </w:t>
            </w:r>
          </w:p>
          <w:p w14:paraId="3C963A10" w14:textId="77777777" w:rsidR="00236AD4" w:rsidRDefault="00236AD4" w:rsidP="00A4724A">
            <w:pPr>
              <w:pStyle w:val="TabletextrowsAgency"/>
              <w:spacing w:line="240" w:lineRule="auto"/>
            </w:pPr>
          </w:p>
          <w:p w14:paraId="6A3E5AB7" w14:textId="77777777" w:rsidR="00236AD4" w:rsidRDefault="00236AD4" w:rsidP="00A4724A">
            <w:pPr>
              <w:pStyle w:val="TabletextrowsAgency"/>
              <w:spacing w:line="240" w:lineRule="auto"/>
            </w:pPr>
            <w:r w:rsidRPr="00BF23BE">
              <w:rPr>
                <w:b/>
              </w:rPr>
              <w:t>Proposed change (if any):</w:t>
            </w:r>
            <w:r>
              <w:t xml:space="preserve"> The authors should consider defining a number of different types of remission, including (1) clinical remission, as suggested above, (2) endoscopic remission [Mayo endoscopic </w:t>
            </w:r>
            <w:proofErr w:type="spellStart"/>
            <w:r>
              <w:t>subscore</w:t>
            </w:r>
            <w:proofErr w:type="spellEnd"/>
            <w:r>
              <w:t xml:space="preserve"> of 0-1 or absence of friability and erosions on UCEIS), and (3) histologic remission.</w:t>
            </w:r>
          </w:p>
        </w:tc>
        <w:tc>
          <w:tcPr>
            <w:tcW w:w="1537" w:type="pct"/>
            <w:shd w:val="clear" w:color="auto" w:fill="E1E3F2"/>
          </w:tcPr>
          <w:p w14:paraId="752B15B0" w14:textId="77777777" w:rsidR="00236AD4" w:rsidRPr="00C24DCF" w:rsidRDefault="00236AD4">
            <w:pPr>
              <w:pStyle w:val="TabletextrowsAgency"/>
              <w:rPr>
                <w:b/>
                <w:color w:val="0000CC"/>
              </w:rPr>
            </w:pPr>
          </w:p>
        </w:tc>
      </w:tr>
      <w:tr w:rsidR="00236AD4" w14:paraId="7B031078" w14:textId="77777777">
        <w:tc>
          <w:tcPr>
            <w:tcW w:w="645" w:type="pct"/>
            <w:shd w:val="clear" w:color="auto" w:fill="E1E3F2"/>
          </w:tcPr>
          <w:p w14:paraId="48E6348C" w14:textId="77777777" w:rsidR="00236AD4" w:rsidRPr="00561BA0" w:rsidRDefault="00236AD4" w:rsidP="00A4724A">
            <w:pPr>
              <w:pStyle w:val="TabletextrowsAgency"/>
              <w:spacing w:line="240" w:lineRule="auto"/>
            </w:pPr>
            <w:r>
              <w:t>131-132</w:t>
            </w:r>
          </w:p>
        </w:tc>
        <w:tc>
          <w:tcPr>
            <w:tcW w:w="812" w:type="pct"/>
            <w:shd w:val="clear" w:color="auto" w:fill="E1E3F2"/>
          </w:tcPr>
          <w:p w14:paraId="427AB46D" w14:textId="348FF1FD" w:rsidR="00236AD4" w:rsidRDefault="00236AD4" w:rsidP="00A4724A">
            <w:pPr>
              <w:pStyle w:val="TabletextrowsAgency"/>
              <w:spacing w:line="240" w:lineRule="auto"/>
            </w:pPr>
          </w:p>
        </w:tc>
        <w:tc>
          <w:tcPr>
            <w:tcW w:w="2006" w:type="pct"/>
            <w:shd w:val="clear" w:color="auto" w:fill="E1E3F2"/>
          </w:tcPr>
          <w:p w14:paraId="7868A411" w14:textId="77777777" w:rsidR="00236AD4" w:rsidRDefault="00236AD4" w:rsidP="00A4724A">
            <w:pPr>
              <w:pStyle w:val="TabletextrowsAgency"/>
              <w:spacing w:line="240" w:lineRule="auto"/>
            </w:pPr>
            <w:r w:rsidRPr="002A6DC3">
              <w:rPr>
                <w:b/>
              </w:rPr>
              <w:t xml:space="preserve">Comment: </w:t>
            </w:r>
            <w:r>
              <w:t xml:space="preserve">Why is the indication “treatment of active ulcerative colitis” and not “treatment of ulcerative colitis”, as it includes maintenance of remission? </w:t>
            </w:r>
            <w:r>
              <w:br/>
            </w:r>
          </w:p>
          <w:p w14:paraId="616B24A6" w14:textId="77777777" w:rsidR="00236AD4" w:rsidRDefault="00236AD4" w:rsidP="00A4724A">
            <w:pPr>
              <w:pStyle w:val="TabletextrowsAgency"/>
              <w:spacing w:line="240" w:lineRule="auto"/>
            </w:pPr>
            <w:r>
              <w:t>Why only “maintenance of remission” and not “remission or sustained remission”?</w:t>
            </w:r>
          </w:p>
          <w:p w14:paraId="6669D389" w14:textId="77777777" w:rsidR="00414B29" w:rsidRDefault="00414B29" w:rsidP="00A4724A">
            <w:pPr>
              <w:pStyle w:val="TabletextrowsAgency"/>
              <w:spacing w:line="240" w:lineRule="auto"/>
            </w:pPr>
          </w:p>
          <w:p w14:paraId="04E529CE" w14:textId="77777777" w:rsidR="00236AD4" w:rsidRDefault="00236AD4" w:rsidP="00A4724A">
            <w:pPr>
              <w:pStyle w:val="TabletextrowsAgency"/>
              <w:spacing w:line="240" w:lineRule="auto"/>
            </w:pPr>
            <w:r w:rsidRPr="002A6DC3">
              <w:rPr>
                <w:b/>
              </w:rPr>
              <w:t>Proposed change (if any):</w:t>
            </w:r>
            <w:r>
              <w:t xml:space="preserve"> </w:t>
            </w:r>
          </w:p>
          <w:p w14:paraId="6681810D" w14:textId="77777777" w:rsidR="00236AD4" w:rsidRDefault="00236AD4" w:rsidP="00A4724A">
            <w:pPr>
              <w:pStyle w:val="TabletextrowsAgency"/>
              <w:spacing w:line="240" w:lineRule="auto"/>
            </w:pPr>
            <w:r>
              <w:t xml:space="preserve">In order to obtain an indication for “treatment of </w:t>
            </w:r>
            <w:r w:rsidRPr="00063D2B">
              <w:rPr>
                <w:strike/>
              </w:rPr>
              <w:t>active</w:t>
            </w:r>
            <w:r w:rsidRPr="00063D2B">
              <w:t xml:space="preserve"> </w:t>
            </w:r>
            <w:r>
              <w:t>ulcerative colitis”, efficacy in both “induction of remission” as well as “</w:t>
            </w:r>
            <w:proofErr w:type="gramStart"/>
            <w:r w:rsidRPr="00063D2B">
              <w:rPr>
                <w:strike/>
              </w:rPr>
              <w:t xml:space="preserve">maintenance </w:t>
            </w:r>
            <w:r>
              <w:t xml:space="preserve"> </w:t>
            </w:r>
            <w:r w:rsidRPr="00F37F45">
              <w:rPr>
                <w:b/>
              </w:rPr>
              <w:t>remission</w:t>
            </w:r>
            <w:proofErr w:type="gramEnd"/>
            <w:r w:rsidRPr="00F37F45">
              <w:rPr>
                <w:b/>
              </w:rPr>
              <w:t xml:space="preserve"> or sustained</w:t>
            </w:r>
            <w:r>
              <w:t xml:space="preserve">  </w:t>
            </w:r>
            <w:r w:rsidRPr="00F37F45">
              <w:rPr>
                <w:b/>
                <w:strike/>
              </w:rPr>
              <w:t>of</w:t>
            </w:r>
            <w:r>
              <w:t xml:space="preserve"> remission” should be demonstrated.</w:t>
            </w:r>
          </w:p>
        </w:tc>
        <w:tc>
          <w:tcPr>
            <w:tcW w:w="1537" w:type="pct"/>
            <w:shd w:val="clear" w:color="auto" w:fill="E1E3F2"/>
          </w:tcPr>
          <w:p w14:paraId="1140B8ED" w14:textId="77777777" w:rsidR="00236AD4" w:rsidRPr="00B02408" w:rsidRDefault="00236AD4">
            <w:pPr>
              <w:pStyle w:val="TabletextrowsAgency"/>
              <w:rPr>
                <w:b/>
                <w:color w:val="0000FF"/>
              </w:rPr>
            </w:pPr>
          </w:p>
        </w:tc>
      </w:tr>
      <w:tr w:rsidR="00236AD4" w14:paraId="48103B77" w14:textId="77777777">
        <w:tc>
          <w:tcPr>
            <w:tcW w:w="645" w:type="pct"/>
            <w:shd w:val="clear" w:color="auto" w:fill="E1E3F2"/>
          </w:tcPr>
          <w:p w14:paraId="3F9BCA86" w14:textId="77777777" w:rsidR="00236AD4" w:rsidRDefault="00236AD4" w:rsidP="00B425EF">
            <w:pPr>
              <w:pStyle w:val="TabletextrowsAgency"/>
              <w:spacing w:line="240" w:lineRule="auto"/>
            </w:pPr>
            <w:r>
              <w:t>131-141</w:t>
            </w:r>
          </w:p>
        </w:tc>
        <w:tc>
          <w:tcPr>
            <w:tcW w:w="812" w:type="pct"/>
            <w:shd w:val="clear" w:color="auto" w:fill="E1E3F2"/>
          </w:tcPr>
          <w:p w14:paraId="56B54521" w14:textId="11434178" w:rsidR="00236AD4" w:rsidRDefault="00236AD4" w:rsidP="00B425EF">
            <w:pPr>
              <w:pStyle w:val="TabletextrowsAgency"/>
              <w:spacing w:line="240" w:lineRule="auto"/>
            </w:pPr>
          </w:p>
        </w:tc>
        <w:tc>
          <w:tcPr>
            <w:tcW w:w="2006" w:type="pct"/>
            <w:shd w:val="clear" w:color="auto" w:fill="E1E3F2"/>
          </w:tcPr>
          <w:p w14:paraId="0329E3A6" w14:textId="77777777" w:rsidR="00414B29" w:rsidRPr="009B5248" w:rsidRDefault="00414B29" w:rsidP="00414B29">
            <w:pPr>
              <w:pStyle w:val="TabletextrowsAgency"/>
              <w:spacing w:line="240" w:lineRule="auto"/>
              <w:rPr>
                <w:bCs/>
              </w:rPr>
            </w:pPr>
            <w:r>
              <w:rPr>
                <w:b/>
                <w:bCs/>
              </w:rPr>
              <w:t>Comment:</w:t>
            </w:r>
            <w:r>
              <w:rPr>
                <w:bCs/>
              </w:rPr>
              <w:t xml:space="preserve">  The rationale for requiring separate investigation of induction and maintenance in order to achieve separate induction and maintenance claims; and why certain study designs are acceptable and others are not acceptable, are unclear in the guidance. </w:t>
            </w:r>
            <w:r w:rsidRPr="009B5248">
              <w:rPr>
                <w:iCs/>
              </w:rPr>
              <w:t>This current text also suggests that a treat-through study design that demonstrates efficacy in both induction of remission and sustaining remission is not a suitable design to obtain the label claim of “treatment of active ulcerative colitis”</w:t>
            </w:r>
          </w:p>
          <w:p w14:paraId="790F16EA" w14:textId="77777777" w:rsidR="00414B29" w:rsidRDefault="00414B29" w:rsidP="00414B29">
            <w:pPr>
              <w:pStyle w:val="TabletextrowsAgency"/>
              <w:rPr>
                <w:bCs/>
              </w:rPr>
            </w:pPr>
          </w:p>
          <w:p w14:paraId="52EF1761" w14:textId="77777777" w:rsidR="00414B29" w:rsidRDefault="00414B29" w:rsidP="00414B29">
            <w:pPr>
              <w:pStyle w:val="TabletextrowsAgency"/>
              <w:spacing w:line="240" w:lineRule="auto"/>
              <w:rPr>
                <w:bCs/>
              </w:rPr>
            </w:pPr>
            <w:r>
              <w:rPr>
                <w:bCs/>
              </w:rPr>
              <w:t>While the short-term goal of treatments is to achieve rapid symptom relief (induction) and the long-term goal is to maintain control of the disease (maintenance); in clinical practice there is not a fixed duration induction phase and a fixed duration maintenance phase.  Clinical practice embraces a more holistic approach, where patients will be treated with an intervention until it is clearly evident that the intervention does not result in benefit.  With respect to the use of biologic treatments, the initial assessment of whether there is/ is not sufficient clinical benefit to justify continuing treatment could take a few months.  This timeframe is consistent with the estimated peak/ steady state of maintenance PKPD effect to be achieved across different approved MOAs (~12-20 weeks).  If sufficient initial benefit is achieved, patients will continue to be maintained on that treatment for a longer time, with ongoing observation to ensure there is sustained benefit.</w:t>
            </w:r>
          </w:p>
          <w:p w14:paraId="3960C545" w14:textId="77777777" w:rsidR="00414B29" w:rsidRDefault="00414B29" w:rsidP="00414B29">
            <w:pPr>
              <w:pStyle w:val="TabletextrowsAgency"/>
              <w:rPr>
                <w:bCs/>
              </w:rPr>
            </w:pPr>
          </w:p>
          <w:p w14:paraId="507CCA86" w14:textId="77777777" w:rsidR="00414B29" w:rsidRDefault="00414B29" w:rsidP="00414B29">
            <w:pPr>
              <w:pStyle w:val="TabletextrowsAgency"/>
              <w:spacing w:line="240" w:lineRule="auto"/>
              <w:rPr>
                <w:bCs/>
              </w:rPr>
            </w:pPr>
            <w:r>
              <w:rPr>
                <w:bCs/>
              </w:rPr>
              <w:t>Enforcement of a strict induction and maintenance study paradigm (i.e. induction followed by randomization to active drug maintenance or withdrawal to placebo) without consideration of the time to achieve optimal PKPD effects will limit our ability to evaluate the true efficacy potential of a given MOA, because patients who “are not induced” into response will not continue into the randomized maintenance trial.  Historically, biologic trials have studied induction efficacy at time points ranging from 2 weeks to 12 weeks; and most of these trials have reported that a substantial proportion of patients may achieve a delayed response to induction (i.e. the non-randomized population in the randomized withdrawal maintenance study).</w:t>
            </w:r>
          </w:p>
          <w:p w14:paraId="5E724414" w14:textId="77777777" w:rsidR="00414B29" w:rsidRDefault="00414B29" w:rsidP="00414B29">
            <w:pPr>
              <w:pStyle w:val="TabletextrowsAgency"/>
              <w:rPr>
                <w:bCs/>
              </w:rPr>
            </w:pPr>
          </w:p>
          <w:p w14:paraId="60AAA574" w14:textId="77777777" w:rsidR="00414B29" w:rsidRDefault="00414B29" w:rsidP="00414B29">
            <w:pPr>
              <w:pStyle w:val="TabletextrowsAgency"/>
              <w:spacing w:line="240" w:lineRule="auto"/>
              <w:rPr>
                <w:bCs/>
              </w:rPr>
            </w:pPr>
            <w:r>
              <w:rPr>
                <w:bCs/>
              </w:rPr>
              <w:t>Thus, a treat-through design, which evaluates efficacy from a population perspective, would provide a much more accurate assessment of the real efficacy potential of a MOA, both short-term and long-term.</w:t>
            </w:r>
          </w:p>
          <w:p w14:paraId="0D9A4C74" w14:textId="77777777" w:rsidR="00414B29" w:rsidRDefault="00414B29" w:rsidP="00414B29">
            <w:pPr>
              <w:pStyle w:val="TabletextrowsAgency"/>
              <w:rPr>
                <w:bCs/>
              </w:rPr>
            </w:pPr>
          </w:p>
          <w:p w14:paraId="7373B489" w14:textId="77777777" w:rsidR="00414B29" w:rsidRDefault="00414B29" w:rsidP="00414B29">
            <w:pPr>
              <w:pStyle w:val="NormalWeb"/>
              <w:rPr>
                <w:rFonts w:ascii="Verdana" w:hAnsi="Verdana"/>
                <w:bCs/>
                <w:sz w:val="18"/>
                <w:szCs w:val="18"/>
              </w:rPr>
            </w:pPr>
            <w:r w:rsidRPr="009448C6">
              <w:rPr>
                <w:rFonts w:ascii="Verdana" w:hAnsi="Verdana"/>
                <w:bCs/>
                <w:sz w:val="18"/>
                <w:szCs w:val="18"/>
              </w:rPr>
              <w:t>Additional comments regarding the appropriateness of treat-through vs. randomized withdrawal maintenance studies are provided in response to Lines 340-353.</w:t>
            </w:r>
          </w:p>
          <w:p w14:paraId="38E1E707" w14:textId="77777777" w:rsidR="00414B29" w:rsidRPr="00414B29" w:rsidRDefault="00414B29" w:rsidP="00414B29">
            <w:pPr>
              <w:spacing w:before="100" w:beforeAutospacing="1" w:after="100" w:afterAutospacing="1"/>
              <w:rPr>
                <w:bCs/>
              </w:rPr>
            </w:pPr>
            <w:r w:rsidRPr="009B5248">
              <w:rPr>
                <w:b/>
                <w:bCs/>
              </w:rPr>
              <w:t>Proposed change (if any):</w:t>
            </w:r>
            <w:r w:rsidRPr="009B5248">
              <w:rPr>
                <w:bCs/>
              </w:rPr>
              <w:t xml:space="preserve"> Please address the appropriateness of a treat through design to demonstrate efficacy and at a minimum add an additional sentence at line 132.  “A treat-through study design showing efficacy in both “induction of remission” and “sustained remission” may be suitable to obtain an indication for “treatment of active ulcerative colitis”. </w:t>
            </w:r>
          </w:p>
        </w:tc>
        <w:tc>
          <w:tcPr>
            <w:tcW w:w="1537" w:type="pct"/>
            <w:shd w:val="clear" w:color="auto" w:fill="E1E3F2"/>
          </w:tcPr>
          <w:p w14:paraId="4D68C9BD" w14:textId="77777777" w:rsidR="00236AD4" w:rsidRPr="009D3228" w:rsidRDefault="00236AD4">
            <w:pPr>
              <w:pStyle w:val="TabletextrowsAgency"/>
              <w:rPr>
                <w:b/>
                <w:color w:val="333399"/>
              </w:rPr>
            </w:pPr>
          </w:p>
        </w:tc>
      </w:tr>
      <w:tr w:rsidR="00236AD4" w14:paraId="3AD48B10" w14:textId="77777777">
        <w:tc>
          <w:tcPr>
            <w:tcW w:w="645" w:type="pct"/>
            <w:shd w:val="clear" w:color="auto" w:fill="E1E3F2"/>
          </w:tcPr>
          <w:p w14:paraId="31C61BF9" w14:textId="77777777" w:rsidR="00236AD4" w:rsidRDefault="00236AD4" w:rsidP="00B425EF">
            <w:pPr>
              <w:pStyle w:val="TabletextrowsAgency"/>
              <w:spacing w:line="240" w:lineRule="auto"/>
            </w:pPr>
            <w:r>
              <w:t>136-141</w:t>
            </w:r>
          </w:p>
        </w:tc>
        <w:tc>
          <w:tcPr>
            <w:tcW w:w="812" w:type="pct"/>
            <w:shd w:val="clear" w:color="auto" w:fill="E1E3F2"/>
          </w:tcPr>
          <w:p w14:paraId="182BEDD6" w14:textId="5C3341CE" w:rsidR="00236AD4" w:rsidRDefault="00236AD4" w:rsidP="00B425EF">
            <w:pPr>
              <w:pStyle w:val="TabletextrowsAgency"/>
              <w:spacing w:line="240" w:lineRule="auto"/>
              <w:rPr>
                <w:b/>
                <w:highlight w:val="cyan"/>
              </w:rPr>
            </w:pPr>
          </w:p>
        </w:tc>
        <w:tc>
          <w:tcPr>
            <w:tcW w:w="2006" w:type="pct"/>
            <w:shd w:val="clear" w:color="auto" w:fill="E1E3F2"/>
          </w:tcPr>
          <w:p w14:paraId="684FDE11" w14:textId="77777777" w:rsidR="00236AD4" w:rsidRPr="008F7B6C" w:rsidRDefault="00236AD4" w:rsidP="00B33143">
            <w:pPr>
              <w:pStyle w:val="NormalWeb"/>
              <w:rPr>
                <w:rFonts w:ascii="Verdana" w:eastAsia="Times New Roman" w:hAnsi="Verdana" w:cs="Verdana,Calibri"/>
                <w:sz w:val="18"/>
                <w:szCs w:val="18"/>
              </w:rPr>
            </w:pPr>
            <w:r>
              <w:rPr>
                <w:rFonts w:ascii="Verdana" w:eastAsia="Times New Roman" w:hAnsi="Verdana" w:cs="Verdana,Calibri"/>
                <w:sz w:val="18"/>
                <w:szCs w:val="18"/>
              </w:rPr>
              <w:t>In regard to the recommendations favouring separate induction and maintenance studies, it should be noted that comparison to standard of care comparators (</w:t>
            </w:r>
            <w:proofErr w:type="spellStart"/>
            <w:r>
              <w:rPr>
                <w:rFonts w:ascii="Verdana" w:eastAsia="Times New Roman" w:hAnsi="Verdana" w:cs="Verdana,Calibri"/>
                <w:sz w:val="18"/>
                <w:szCs w:val="18"/>
              </w:rPr>
              <w:t>eg</w:t>
            </w:r>
            <w:proofErr w:type="spellEnd"/>
            <w:r>
              <w:rPr>
                <w:rFonts w:ascii="Verdana" w:eastAsia="Times New Roman" w:hAnsi="Verdana" w:cs="Verdana,Calibri"/>
                <w:sz w:val="18"/>
                <w:szCs w:val="18"/>
              </w:rPr>
              <w:t xml:space="preserve"> anti-TNF) using this methodology incurs substantial complexity. Similarly, when active comparators are used, potentially nonsensical treatment regimens may be necessary to maintain study blinding in randomized withdrawal designs. We believe comparison to SOC in both induction and in maintenance may be best accomplished using a treat through methodology.</w:t>
            </w:r>
          </w:p>
        </w:tc>
        <w:tc>
          <w:tcPr>
            <w:tcW w:w="1537" w:type="pct"/>
            <w:shd w:val="clear" w:color="auto" w:fill="E1E3F2"/>
          </w:tcPr>
          <w:p w14:paraId="5B071C46" w14:textId="77777777" w:rsidR="00236AD4" w:rsidRPr="00B02408" w:rsidRDefault="00236AD4">
            <w:pPr>
              <w:pStyle w:val="TabletextrowsAgency"/>
              <w:rPr>
                <w:b/>
                <w:color w:val="0000FF"/>
              </w:rPr>
            </w:pPr>
          </w:p>
        </w:tc>
      </w:tr>
      <w:tr w:rsidR="00236AD4" w14:paraId="0EB7BD18" w14:textId="77777777">
        <w:tc>
          <w:tcPr>
            <w:tcW w:w="645" w:type="pct"/>
            <w:shd w:val="clear" w:color="auto" w:fill="E1E3F2"/>
          </w:tcPr>
          <w:p w14:paraId="06E7B24B" w14:textId="77777777" w:rsidR="00236AD4" w:rsidRPr="00561BA0" w:rsidRDefault="00236AD4" w:rsidP="00966ECE">
            <w:pPr>
              <w:pStyle w:val="TabletextrowsAgency"/>
              <w:spacing w:line="240" w:lineRule="auto"/>
            </w:pPr>
            <w:r>
              <w:t>138</w:t>
            </w:r>
          </w:p>
        </w:tc>
        <w:tc>
          <w:tcPr>
            <w:tcW w:w="812" w:type="pct"/>
            <w:shd w:val="clear" w:color="auto" w:fill="E1E3F2"/>
          </w:tcPr>
          <w:p w14:paraId="01AF93AF" w14:textId="357051EE" w:rsidR="00236AD4" w:rsidRPr="00966ECE" w:rsidRDefault="00236AD4" w:rsidP="00966ECE">
            <w:pPr>
              <w:pStyle w:val="TabletextrowsAgency"/>
              <w:spacing w:line="240" w:lineRule="auto"/>
              <w:rPr>
                <w:b/>
                <w:highlight w:val="cyan"/>
              </w:rPr>
            </w:pPr>
          </w:p>
        </w:tc>
        <w:tc>
          <w:tcPr>
            <w:tcW w:w="2006" w:type="pct"/>
            <w:shd w:val="clear" w:color="auto" w:fill="E1E3F2"/>
          </w:tcPr>
          <w:p w14:paraId="47C14909" w14:textId="77777777" w:rsidR="00236AD4" w:rsidRPr="002B7A33" w:rsidRDefault="00236AD4" w:rsidP="00A4724A">
            <w:pPr>
              <w:pStyle w:val="TabletextrowsAgency"/>
              <w:spacing w:line="240" w:lineRule="auto"/>
            </w:pPr>
            <w:r w:rsidRPr="00BE4945">
              <w:rPr>
                <w:b/>
              </w:rPr>
              <w:t>Comment</w:t>
            </w:r>
            <w:r w:rsidRPr="00BE4945">
              <w:rPr>
                <w:b/>
                <w:sz w:val="14"/>
              </w:rPr>
              <w:t xml:space="preserve">: </w:t>
            </w:r>
            <w:r w:rsidRPr="002B7A33">
              <w:t>While a “treat -through” design may be acceptable the design of the study will have implications for the indications that can be claimed.</w:t>
            </w:r>
          </w:p>
          <w:p w14:paraId="5D1BBB68" w14:textId="77777777" w:rsidR="00236AD4" w:rsidRPr="002B7A33" w:rsidRDefault="00236AD4" w:rsidP="00A4724A">
            <w:pPr>
              <w:pStyle w:val="TabletextrowsAgency"/>
              <w:spacing w:line="240" w:lineRule="auto"/>
            </w:pPr>
            <w:r w:rsidRPr="002B7A33">
              <w:t>While it is clear that indication for “treatment of active UC” can be obtained with adequate demonstration of effect in both induction and maintenance, and that separate demonstration of efficacy in induction and demonstration of efficacy in maintenance may lead to separate indication for induction and maintenance respectively, it is not clear what indication may be granted when using a treat-through design</w:t>
            </w:r>
          </w:p>
          <w:p w14:paraId="0BF16D29" w14:textId="77777777" w:rsidR="00236AD4" w:rsidRPr="002B7A33" w:rsidRDefault="00236AD4" w:rsidP="00A4724A">
            <w:pPr>
              <w:pStyle w:val="TabletextrowsAgency"/>
              <w:spacing w:line="240" w:lineRule="auto"/>
            </w:pPr>
          </w:p>
          <w:p w14:paraId="47F57258" w14:textId="77777777" w:rsidR="00236AD4" w:rsidRPr="002B7A33" w:rsidRDefault="00236AD4" w:rsidP="00A4724A">
            <w:pPr>
              <w:pStyle w:val="TabletextrowsAgency"/>
              <w:spacing w:line="240" w:lineRule="auto"/>
            </w:pPr>
            <w:r w:rsidRPr="00BE4945">
              <w:rPr>
                <w:b/>
              </w:rPr>
              <w:t>Proposed change (if any):</w:t>
            </w:r>
            <w:r>
              <w:rPr>
                <w:b/>
              </w:rPr>
              <w:t xml:space="preserve"> </w:t>
            </w:r>
            <w:r w:rsidRPr="00BE4945">
              <w:t>Please</w:t>
            </w:r>
            <w:r>
              <w:rPr>
                <w:b/>
              </w:rPr>
              <w:t xml:space="preserve"> </w:t>
            </w:r>
            <w:r w:rsidRPr="002B7A33">
              <w:t>clarify the type of indication granted in case of treat-through design</w:t>
            </w:r>
            <w:r>
              <w:t>.</w:t>
            </w:r>
          </w:p>
          <w:p w14:paraId="2E307981" w14:textId="77777777" w:rsidR="00236AD4" w:rsidRPr="00977795" w:rsidRDefault="00236AD4" w:rsidP="00A4724A">
            <w:pPr>
              <w:pStyle w:val="TabletextrowsAgency"/>
              <w:spacing w:line="240" w:lineRule="auto"/>
              <w:rPr>
                <w:sz w:val="14"/>
              </w:rPr>
            </w:pPr>
            <w:r w:rsidRPr="002B7A33">
              <w:t>Also further define “treat-through”</w:t>
            </w:r>
            <w:r>
              <w:rPr>
                <w:sz w:val="14"/>
              </w:rPr>
              <w:t xml:space="preserve"> </w:t>
            </w:r>
            <w:r w:rsidRPr="007F0A06">
              <w:rPr>
                <w:sz w:val="14"/>
              </w:rPr>
              <w:t xml:space="preserve"> </w:t>
            </w:r>
          </w:p>
        </w:tc>
        <w:tc>
          <w:tcPr>
            <w:tcW w:w="1537" w:type="pct"/>
            <w:shd w:val="clear" w:color="auto" w:fill="E1E3F2"/>
          </w:tcPr>
          <w:p w14:paraId="14B2140C" w14:textId="77777777" w:rsidR="00236AD4" w:rsidRPr="00B02408" w:rsidRDefault="00236AD4">
            <w:pPr>
              <w:pStyle w:val="TabletextrowsAgency"/>
              <w:rPr>
                <w:b/>
                <w:color w:val="0000FF"/>
              </w:rPr>
            </w:pPr>
          </w:p>
        </w:tc>
      </w:tr>
      <w:tr w:rsidR="00236AD4" w14:paraId="6ECDE49D" w14:textId="77777777">
        <w:tc>
          <w:tcPr>
            <w:tcW w:w="645" w:type="pct"/>
            <w:shd w:val="clear" w:color="auto" w:fill="E1E3F2"/>
          </w:tcPr>
          <w:p w14:paraId="39DE060E" w14:textId="77777777" w:rsidR="00236AD4" w:rsidRDefault="00236AD4">
            <w:pPr>
              <w:pStyle w:val="TabletextrowsAgency"/>
            </w:pPr>
            <w:r>
              <w:t>147-148</w:t>
            </w:r>
          </w:p>
        </w:tc>
        <w:tc>
          <w:tcPr>
            <w:tcW w:w="812" w:type="pct"/>
            <w:shd w:val="clear" w:color="auto" w:fill="E1E3F2"/>
          </w:tcPr>
          <w:p w14:paraId="159B13BE" w14:textId="3103E5FD" w:rsidR="00236AD4" w:rsidRDefault="00236AD4">
            <w:pPr>
              <w:pStyle w:val="TabletextrowsAgency"/>
            </w:pPr>
          </w:p>
        </w:tc>
        <w:tc>
          <w:tcPr>
            <w:tcW w:w="2006" w:type="pct"/>
            <w:shd w:val="clear" w:color="auto" w:fill="E1E3F2"/>
          </w:tcPr>
          <w:p w14:paraId="79510C87" w14:textId="77777777" w:rsidR="00236AD4" w:rsidRDefault="00236AD4" w:rsidP="00A4724A">
            <w:pPr>
              <w:pStyle w:val="TabletextrowsAgency"/>
              <w:spacing w:line="240" w:lineRule="auto"/>
            </w:pPr>
            <w:r>
              <w:t>There are drugs in development for UC that do not have a direct effect on inflammation; it would be helpful if the guidance would consider other mechanisms that may have a benefit to patients (e.g., drugs that directly promote mucosal healing)</w:t>
            </w:r>
          </w:p>
        </w:tc>
        <w:tc>
          <w:tcPr>
            <w:tcW w:w="1537" w:type="pct"/>
            <w:shd w:val="clear" w:color="auto" w:fill="E1E3F2"/>
          </w:tcPr>
          <w:p w14:paraId="355A9333" w14:textId="77777777" w:rsidR="00236AD4" w:rsidRPr="00B02408" w:rsidRDefault="00236AD4">
            <w:pPr>
              <w:pStyle w:val="TabletextrowsAgency"/>
              <w:rPr>
                <w:b/>
                <w:color w:val="0000FF"/>
              </w:rPr>
            </w:pPr>
          </w:p>
        </w:tc>
      </w:tr>
      <w:tr w:rsidR="00236AD4" w14:paraId="44BEC467" w14:textId="77777777">
        <w:tc>
          <w:tcPr>
            <w:tcW w:w="645" w:type="pct"/>
            <w:shd w:val="clear" w:color="auto" w:fill="E1E3F2"/>
          </w:tcPr>
          <w:p w14:paraId="6BC85A1C" w14:textId="77777777" w:rsidR="00236AD4" w:rsidRDefault="00236AD4" w:rsidP="00966ECE">
            <w:pPr>
              <w:pStyle w:val="TabletextrowsAgency"/>
              <w:spacing w:line="240" w:lineRule="auto"/>
            </w:pPr>
            <w:r>
              <w:t xml:space="preserve">152-159 </w:t>
            </w:r>
          </w:p>
        </w:tc>
        <w:tc>
          <w:tcPr>
            <w:tcW w:w="812" w:type="pct"/>
            <w:shd w:val="clear" w:color="auto" w:fill="E1E3F2"/>
          </w:tcPr>
          <w:p w14:paraId="0035E6C7" w14:textId="7D9ADC2B" w:rsidR="00236AD4" w:rsidRPr="00D87123" w:rsidRDefault="00236AD4" w:rsidP="00966ECE">
            <w:pPr>
              <w:pStyle w:val="TabletextrowsAgency"/>
              <w:spacing w:line="240" w:lineRule="auto"/>
              <w:rPr>
                <w:b/>
                <w:highlight w:val="cyan"/>
              </w:rPr>
            </w:pPr>
          </w:p>
        </w:tc>
        <w:tc>
          <w:tcPr>
            <w:tcW w:w="2006" w:type="pct"/>
            <w:shd w:val="clear" w:color="auto" w:fill="E1E3F2"/>
          </w:tcPr>
          <w:p w14:paraId="2EE3047C" w14:textId="77777777" w:rsidR="00236AD4" w:rsidRPr="003476DF" w:rsidRDefault="00236AD4" w:rsidP="00A4724A">
            <w:pPr>
              <w:pStyle w:val="TabletextrowsAgency"/>
              <w:spacing w:line="240" w:lineRule="auto"/>
            </w:pPr>
            <w:r w:rsidRPr="00BE4945">
              <w:rPr>
                <w:b/>
              </w:rPr>
              <w:t>Comment</w:t>
            </w:r>
            <w:r w:rsidRPr="00BE4945">
              <w:rPr>
                <w:b/>
                <w:sz w:val="14"/>
              </w:rPr>
              <w:t xml:space="preserve">: </w:t>
            </w:r>
            <w:r w:rsidRPr="003476DF">
              <w:t xml:space="preserve">The revised guideline encourages use of a PRO instrument for the use as primary outcome parameter in clinical trials in </w:t>
            </w:r>
            <w:proofErr w:type="gramStart"/>
            <w:r w:rsidRPr="003476DF">
              <w:t>UC which includes “clinically important signs</w:t>
            </w:r>
            <w:proofErr w:type="gramEnd"/>
            <w:r w:rsidRPr="003476DF">
              <w:t xml:space="preserve"> and symptoms of UC”. In clinical outcome assessment research, a sign is an objective aspect of a condition or disease that can be observed or measured.  </w:t>
            </w:r>
          </w:p>
          <w:p w14:paraId="562FD89F" w14:textId="77777777" w:rsidR="00236AD4" w:rsidRDefault="00236AD4" w:rsidP="00A4724A">
            <w:pPr>
              <w:pStyle w:val="TabletextrowsAgency"/>
              <w:spacing w:line="240" w:lineRule="auto"/>
            </w:pPr>
            <w:r w:rsidRPr="003476DF">
              <w:t xml:space="preserve">A symptom is subjective from the patient point of view and represents what the patient experiences about the condition or disease; they are not able to be observed or measured objectively. Signs can be evaluated using a PRO but are more commonly evaluated/reported by the physician/investigator who uses their medical training and judgement to score the sign (a so-called Clinician-reported outcome, or </w:t>
            </w:r>
            <w:proofErr w:type="spellStart"/>
            <w:r w:rsidRPr="003476DF">
              <w:t>ClinRO</w:t>
            </w:r>
            <w:proofErr w:type="spellEnd"/>
            <w:r w:rsidRPr="003476DF">
              <w:t>). The Mayo score is an instrument that contains both signs and symptoms, but the signs are evaluated and reported by the physician/investigator (</w:t>
            </w:r>
            <w:proofErr w:type="spellStart"/>
            <w:r w:rsidRPr="003476DF">
              <w:t>ClinRO</w:t>
            </w:r>
            <w:proofErr w:type="spellEnd"/>
            <w:r w:rsidRPr="003476DF">
              <w:t xml:space="preserve">), while the symptoms are evaluated and reported by the patient (PRO). </w:t>
            </w:r>
          </w:p>
          <w:p w14:paraId="0496303F" w14:textId="77777777" w:rsidR="00236AD4" w:rsidRDefault="00236AD4" w:rsidP="00A4724A">
            <w:pPr>
              <w:pStyle w:val="TabletextrowsAgency"/>
              <w:spacing w:line="240" w:lineRule="auto"/>
            </w:pPr>
          </w:p>
          <w:p w14:paraId="10C58442" w14:textId="77777777" w:rsidR="00236AD4" w:rsidRDefault="00236AD4" w:rsidP="00A4724A">
            <w:pPr>
              <w:pStyle w:val="TabletextrowsAgency"/>
              <w:spacing w:line="240" w:lineRule="auto"/>
            </w:pPr>
            <w:r w:rsidRPr="00BE4945">
              <w:rPr>
                <w:b/>
              </w:rPr>
              <w:t>Proposed change (if any):</w:t>
            </w:r>
            <w:r w:rsidRPr="003476DF">
              <w:t xml:space="preserve"> Can the agency confirm whether the co-primary endpoint should be (a) symptomatic remission, using PRO data on symptoms only, (b) remission of signs and symptoms, as reported using a validated PRO which encompasses both, or (c) remission of signs as reported using a validated </w:t>
            </w:r>
            <w:proofErr w:type="spellStart"/>
            <w:r w:rsidRPr="003476DF">
              <w:t>ClinRO</w:t>
            </w:r>
            <w:proofErr w:type="spellEnd"/>
            <w:r w:rsidRPr="003476DF">
              <w:t xml:space="preserve"> and symptoms as reported using a validated PRO?</w:t>
            </w:r>
          </w:p>
        </w:tc>
        <w:tc>
          <w:tcPr>
            <w:tcW w:w="1537" w:type="pct"/>
            <w:shd w:val="clear" w:color="auto" w:fill="E1E3F2"/>
          </w:tcPr>
          <w:p w14:paraId="046F8144" w14:textId="77777777" w:rsidR="00236AD4" w:rsidRDefault="00236AD4">
            <w:pPr>
              <w:pStyle w:val="TabletextrowsAgency"/>
            </w:pPr>
          </w:p>
        </w:tc>
      </w:tr>
      <w:tr w:rsidR="00236AD4" w14:paraId="6BD543DF" w14:textId="77777777">
        <w:tc>
          <w:tcPr>
            <w:tcW w:w="645" w:type="pct"/>
            <w:shd w:val="clear" w:color="auto" w:fill="E1E3F2"/>
          </w:tcPr>
          <w:p w14:paraId="65816DD2" w14:textId="77777777" w:rsidR="00236AD4" w:rsidRDefault="00236AD4" w:rsidP="00966ECE">
            <w:pPr>
              <w:pStyle w:val="TabletextrowsAgency"/>
              <w:spacing w:line="240" w:lineRule="auto"/>
            </w:pPr>
            <w:r>
              <w:t xml:space="preserve">152-159 </w:t>
            </w:r>
          </w:p>
        </w:tc>
        <w:tc>
          <w:tcPr>
            <w:tcW w:w="812" w:type="pct"/>
            <w:shd w:val="clear" w:color="auto" w:fill="E1E3F2"/>
          </w:tcPr>
          <w:p w14:paraId="315EF94A" w14:textId="38FD65D7" w:rsidR="00236AD4" w:rsidRPr="00D87123" w:rsidRDefault="00236AD4" w:rsidP="00966ECE">
            <w:pPr>
              <w:pStyle w:val="TabletextrowsAgency"/>
              <w:spacing w:line="240" w:lineRule="auto"/>
              <w:rPr>
                <w:highlight w:val="cyan"/>
              </w:rPr>
            </w:pPr>
          </w:p>
        </w:tc>
        <w:tc>
          <w:tcPr>
            <w:tcW w:w="2006" w:type="pct"/>
            <w:shd w:val="clear" w:color="auto" w:fill="E1E3F2"/>
          </w:tcPr>
          <w:p w14:paraId="238E6A38" w14:textId="77777777" w:rsidR="00236AD4" w:rsidRDefault="00236AD4" w:rsidP="00A4724A">
            <w:pPr>
              <w:pStyle w:val="TabletextrowsAgency"/>
              <w:spacing w:line="240" w:lineRule="auto"/>
            </w:pPr>
            <w:r w:rsidRPr="00BE4945">
              <w:rPr>
                <w:b/>
              </w:rPr>
              <w:t>Comment:</w:t>
            </w:r>
            <w:r>
              <w:t xml:space="preserve"> </w:t>
            </w:r>
            <w:r w:rsidRPr="003476DF">
              <w:t xml:space="preserve">It is encouraging that the EMA continues to consider the measurement of patient-reported symptoms of UC as a co-primary endpoint in establishing treatment benefit. </w:t>
            </w:r>
            <w:r>
              <w:t>It is acknowledged</w:t>
            </w:r>
            <w:r w:rsidRPr="003476DF">
              <w:t xml:space="preserve"> that the patient perspective is key in defining signs and symptoms which are important to evaluate and concur with the Agency that a patient-reported outcome (PRO) instrument to be used as primary outcome measure in pivotal clinical trials in UC should be “completely and rigorously validated”. When defining validity in PRO instruments, the Reflection Paper on the regulatory guidance for the use of Health-Related Quality of Life (HRQL) measures in the evaluation of medicinal products (CHPM/EWP/139391/04) alludes to validity, reliability, responsiveness and interpretability for the specific condition/setting. Numerous good practice guidelines have been developed on PRO instrument validation since the release of this guidance document (ISPOR, FDA etc) – </w:t>
            </w:r>
            <w:r>
              <w:t xml:space="preserve">can the agency clarify the evidence they are </w:t>
            </w:r>
            <w:r w:rsidRPr="003476DF">
              <w:t>looking for to support the consideration of a PRO instrument as “completely and rigorously validated”</w:t>
            </w:r>
          </w:p>
          <w:p w14:paraId="298DB41F" w14:textId="77777777" w:rsidR="00236AD4" w:rsidRDefault="00236AD4" w:rsidP="00A4724A">
            <w:pPr>
              <w:pStyle w:val="TabletextrowsAgency"/>
              <w:spacing w:line="240" w:lineRule="auto"/>
            </w:pPr>
          </w:p>
          <w:p w14:paraId="3C43D191" w14:textId="77777777" w:rsidR="00236AD4" w:rsidRPr="00BE4945" w:rsidRDefault="00236AD4" w:rsidP="00A4724A">
            <w:pPr>
              <w:pStyle w:val="TabletextrowsAgency"/>
              <w:spacing w:line="240" w:lineRule="auto"/>
              <w:rPr>
                <w:b/>
              </w:rPr>
            </w:pPr>
            <w:r w:rsidRPr="00BE4945">
              <w:rPr>
                <w:b/>
              </w:rPr>
              <w:t>Proposed change (if any):</w:t>
            </w:r>
          </w:p>
        </w:tc>
        <w:tc>
          <w:tcPr>
            <w:tcW w:w="1537" w:type="pct"/>
            <w:shd w:val="clear" w:color="auto" w:fill="E1E3F2"/>
          </w:tcPr>
          <w:p w14:paraId="10CB8C62" w14:textId="77777777" w:rsidR="00236AD4" w:rsidRDefault="00236AD4">
            <w:pPr>
              <w:pStyle w:val="TabletextrowsAgency"/>
            </w:pPr>
          </w:p>
        </w:tc>
      </w:tr>
      <w:tr w:rsidR="00236AD4" w14:paraId="3C1B7CC6" w14:textId="77777777">
        <w:tc>
          <w:tcPr>
            <w:tcW w:w="645" w:type="pct"/>
            <w:shd w:val="clear" w:color="auto" w:fill="E1E3F2"/>
          </w:tcPr>
          <w:p w14:paraId="6F99ABA8" w14:textId="77777777" w:rsidR="00236AD4" w:rsidRDefault="00236AD4" w:rsidP="00AB06F0">
            <w:pPr>
              <w:pStyle w:val="TabletextrowsAgency"/>
              <w:spacing w:line="240" w:lineRule="auto"/>
            </w:pPr>
            <w:r>
              <w:t>152, 166-167</w:t>
            </w:r>
          </w:p>
        </w:tc>
        <w:tc>
          <w:tcPr>
            <w:tcW w:w="812" w:type="pct"/>
            <w:shd w:val="clear" w:color="auto" w:fill="E1E3F2"/>
          </w:tcPr>
          <w:p w14:paraId="755B50BA" w14:textId="6C38CBA2" w:rsidR="00236AD4" w:rsidRDefault="00236AD4" w:rsidP="00AB06F0">
            <w:pPr>
              <w:pStyle w:val="TabletextrowsAgency"/>
              <w:spacing w:line="240" w:lineRule="auto"/>
            </w:pPr>
          </w:p>
        </w:tc>
        <w:tc>
          <w:tcPr>
            <w:tcW w:w="2006" w:type="pct"/>
            <w:shd w:val="clear" w:color="auto" w:fill="E1E3F2"/>
          </w:tcPr>
          <w:p w14:paraId="4B34E3C9" w14:textId="77777777" w:rsidR="00236AD4" w:rsidRDefault="00236AD4" w:rsidP="00A4724A">
            <w:pPr>
              <w:pStyle w:val="TabletextrowsAgency"/>
              <w:spacing w:line="240" w:lineRule="auto"/>
            </w:pPr>
            <w:r w:rsidRPr="002A6DC3">
              <w:rPr>
                <w:b/>
              </w:rPr>
              <w:t>Comment:</w:t>
            </w:r>
            <w:r>
              <w:t xml:space="preserve"> Please use “patient reported outcomes</w:t>
            </w:r>
            <w:proofErr w:type="gramStart"/>
            <w:r>
              <w:t>”  and</w:t>
            </w:r>
            <w:proofErr w:type="gramEnd"/>
            <w:r>
              <w:t xml:space="preserve"> not “patient related outcomes”</w:t>
            </w:r>
          </w:p>
          <w:p w14:paraId="4713655E" w14:textId="77777777" w:rsidR="00236AD4" w:rsidRDefault="00236AD4" w:rsidP="00A4724A">
            <w:pPr>
              <w:pStyle w:val="TabletextrowsAgency"/>
              <w:spacing w:line="240" w:lineRule="auto"/>
            </w:pPr>
          </w:p>
          <w:p w14:paraId="4E24AEB3" w14:textId="77777777" w:rsidR="00236AD4" w:rsidRDefault="00236AD4" w:rsidP="00A4724A">
            <w:pPr>
              <w:pStyle w:val="TabletextrowsAgency"/>
              <w:spacing w:line="240" w:lineRule="auto"/>
              <w:rPr>
                <w:rFonts w:eastAsia="Verdana"/>
                <w:spacing w:val="-1"/>
              </w:rPr>
            </w:pPr>
            <w:r w:rsidRPr="002A6DC3">
              <w:rPr>
                <w:b/>
              </w:rPr>
              <w:t>Proposed change (if any):</w:t>
            </w:r>
            <w:r>
              <w:rPr>
                <w:rFonts w:eastAsia="Verdana"/>
                <w:spacing w:val="-1"/>
              </w:rPr>
              <w:t xml:space="preserve"> </w:t>
            </w:r>
          </w:p>
          <w:p w14:paraId="704EE3EA" w14:textId="77777777" w:rsidR="00236AD4" w:rsidRDefault="00236AD4" w:rsidP="00A4724A">
            <w:pPr>
              <w:pStyle w:val="TabletextrowsAgency"/>
              <w:spacing w:line="240" w:lineRule="auto"/>
              <w:rPr>
                <w:rFonts w:eastAsia="Verdana"/>
              </w:rPr>
            </w:pPr>
            <w:r>
              <w:rPr>
                <w:rFonts w:eastAsia="Verdana"/>
                <w:spacing w:val="-1"/>
              </w:rPr>
              <w:t>“Sy</w:t>
            </w:r>
            <w:r>
              <w:rPr>
                <w:rFonts w:eastAsia="Verdana"/>
              </w:rPr>
              <w:t>m</w:t>
            </w:r>
            <w:r>
              <w:rPr>
                <w:rFonts w:eastAsia="Verdana"/>
                <w:spacing w:val="1"/>
              </w:rPr>
              <w:t>pto</w:t>
            </w:r>
            <w:r>
              <w:rPr>
                <w:rFonts w:eastAsia="Verdana"/>
              </w:rPr>
              <w:t>ma</w:t>
            </w:r>
            <w:r>
              <w:rPr>
                <w:rFonts w:eastAsia="Verdana"/>
                <w:spacing w:val="1"/>
              </w:rPr>
              <w:t>ti</w:t>
            </w:r>
            <w:r>
              <w:rPr>
                <w:rFonts w:eastAsia="Verdana"/>
              </w:rPr>
              <w:t>c</w:t>
            </w:r>
            <w:r>
              <w:rPr>
                <w:rFonts w:eastAsia="Verdana"/>
                <w:spacing w:val="-1"/>
              </w:rPr>
              <w:t xml:space="preserve"> </w:t>
            </w:r>
            <w:r>
              <w:rPr>
                <w:rFonts w:eastAsia="Verdana"/>
              </w:rPr>
              <w:t>r</w:t>
            </w:r>
            <w:r>
              <w:rPr>
                <w:rFonts w:eastAsia="Verdana"/>
                <w:spacing w:val="-2"/>
              </w:rPr>
              <w:t>e</w:t>
            </w:r>
            <w:r>
              <w:rPr>
                <w:rFonts w:eastAsia="Verdana"/>
                <w:spacing w:val="1"/>
              </w:rPr>
              <w:t>lie</w:t>
            </w:r>
            <w:r>
              <w:rPr>
                <w:rFonts w:eastAsia="Verdana"/>
              </w:rPr>
              <w:t>f</w:t>
            </w:r>
            <w:r>
              <w:rPr>
                <w:rFonts w:eastAsia="Verdana"/>
                <w:spacing w:val="-2"/>
              </w:rPr>
              <w:t xml:space="preserve"> </w:t>
            </w:r>
            <w:r>
              <w:rPr>
                <w:rFonts w:eastAsia="Verdana"/>
              </w:rPr>
              <w:t>s</w:t>
            </w:r>
            <w:r>
              <w:rPr>
                <w:rFonts w:eastAsia="Verdana"/>
                <w:spacing w:val="-1"/>
              </w:rPr>
              <w:t>h</w:t>
            </w:r>
            <w:r>
              <w:rPr>
                <w:rFonts w:eastAsia="Verdana"/>
                <w:spacing w:val="1"/>
              </w:rPr>
              <w:t>o</w:t>
            </w:r>
            <w:r>
              <w:rPr>
                <w:rFonts w:eastAsia="Verdana"/>
                <w:spacing w:val="-1"/>
              </w:rPr>
              <w:t>u</w:t>
            </w:r>
            <w:r>
              <w:rPr>
                <w:rFonts w:eastAsia="Verdana"/>
                <w:spacing w:val="1"/>
              </w:rPr>
              <w:t>l</w:t>
            </w:r>
            <w:r>
              <w:rPr>
                <w:rFonts w:eastAsia="Verdana"/>
              </w:rPr>
              <w:t xml:space="preserve">d </w:t>
            </w:r>
            <w:r>
              <w:rPr>
                <w:rFonts w:eastAsia="Verdana"/>
                <w:spacing w:val="1"/>
              </w:rPr>
              <w:t>b</w:t>
            </w:r>
            <w:r>
              <w:rPr>
                <w:rFonts w:eastAsia="Verdana"/>
              </w:rPr>
              <w:t xml:space="preserve">e </w:t>
            </w:r>
            <w:r>
              <w:rPr>
                <w:rFonts w:eastAsia="Verdana"/>
                <w:spacing w:val="1"/>
              </w:rPr>
              <w:t>e</w:t>
            </w:r>
            <w:r>
              <w:rPr>
                <w:rFonts w:eastAsia="Verdana"/>
                <w:spacing w:val="-1"/>
              </w:rPr>
              <w:t>v</w:t>
            </w:r>
            <w:r>
              <w:rPr>
                <w:rFonts w:eastAsia="Verdana"/>
              </w:rPr>
              <w:t>a</w:t>
            </w:r>
            <w:r>
              <w:rPr>
                <w:rFonts w:eastAsia="Verdana"/>
                <w:spacing w:val="1"/>
              </w:rPr>
              <w:t>l</w:t>
            </w:r>
            <w:r>
              <w:rPr>
                <w:rFonts w:eastAsia="Verdana"/>
                <w:spacing w:val="-1"/>
              </w:rPr>
              <w:t>u</w:t>
            </w:r>
            <w:r>
              <w:rPr>
                <w:rFonts w:eastAsia="Verdana"/>
              </w:rPr>
              <w:t>a</w:t>
            </w:r>
            <w:r>
              <w:rPr>
                <w:rFonts w:eastAsia="Verdana"/>
                <w:spacing w:val="1"/>
              </w:rPr>
              <w:t>te</w:t>
            </w:r>
            <w:r>
              <w:rPr>
                <w:rFonts w:eastAsia="Verdana"/>
              </w:rPr>
              <w:t xml:space="preserve">d </w:t>
            </w:r>
            <w:r>
              <w:rPr>
                <w:rFonts w:eastAsia="Verdana"/>
                <w:spacing w:val="1"/>
              </w:rPr>
              <w:t>b</w:t>
            </w:r>
            <w:r>
              <w:rPr>
                <w:rFonts w:eastAsia="Verdana"/>
              </w:rPr>
              <w:t>y</w:t>
            </w:r>
            <w:r>
              <w:rPr>
                <w:rFonts w:eastAsia="Verdana"/>
                <w:spacing w:val="-2"/>
              </w:rPr>
              <w:t xml:space="preserve"> patient </w:t>
            </w:r>
            <w:r w:rsidRPr="00063D2B">
              <w:rPr>
                <w:rFonts w:eastAsia="Verdana"/>
                <w:strike/>
                <w:spacing w:val="-2"/>
              </w:rPr>
              <w:t>related</w:t>
            </w:r>
            <w:r w:rsidRPr="004B0DCE">
              <w:rPr>
                <w:rFonts w:eastAsia="Verdana"/>
                <w:b/>
                <w:strike/>
                <w:spacing w:val="-2"/>
              </w:rPr>
              <w:t xml:space="preserve"> </w:t>
            </w:r>
            <w:r w:rsidRPr="004B0DCE">
              <w:rPr>
                <w:rFonts w:eastAsia="Verdana"/>
                <w:b/>
                <w:spacing w:val="-2"/>
              </w:rPr>
              <w:t>reported</w:t>
            </w:r>
            <w:r>
              <w:rPr>
                <w:rFonts w:eastAsia="Verdana"/>
                <w:spacing w:val="-2"/>
              </w:rPr>
              <w:t xml:space="preserve"> outcomes </w:t>
            </w:r>
            <w:r>
              <w:rPr>
                <w:rFonts w:eastAsia="Verdana"/>
              </w:rPr>
              <w:t>(</w:t>
            </w:r>
            <w:r>
              <w:rPr>
                <w:rFonts w:eastAsia="Verdana"/>
                <w:spacing w:val="-1"/>
              </w:rPr>
              <w:t>P</w:t>
            </w:r>
            <w:r>
              <w:rPr>
                <w:rFonts w:eastAsia="Verdana"/>
              </w:rPr>
              <w:t>RO).”</w:t>
            </w:r>
          </w:p>
          <w:p w14:paraId="1D8A6E83" w14:textId="77777777" w:rsidR="00236AD4" w:rsidRPr="002A6DC3" w:rsidRDefault="00236AD4" w:rsidP="00A4724A">
            <w:pPr>
              <w:spacing w:before="100" w:beforeAutospacing="1"/>
              <w:rPr>
                <w:rFonts w:eastAsia="Verdana"/>
                <w:spacing w:val="-1"/>
              </w:rPr>
            </w:pPr>
            <w:r w:rsidRPr="009C04E1">
              <w:rPr>
                <w:rFonts w:eastAsia="Verdana"/>
                <w:spacing w:val="-1"/>
              </w:rPr>
              <w:t xml:space="preserve">“The use of this index may be justified, however, as previously </w:t>
            </w:r>
            <w:r>
              <w:rPr>
                <w:rFonts w:eastAsia="Verdana"/>
                <w:spacing w:val="-1"/>
              </w:rPr>
              <w:t>mentioned,</w:t>
            </w:r>
            <w:r w:rsidRPr="009C04E1">
              <w:rPr>
                <w:rFonts w:eastAsia="Verdana"/>
                <w:spacing w:val="-1"/>
              </w:rPr>
              <w:t xml:space="preserve"> an effect on both the patient</w:t>
            </w:r>
            <w:r w:rsidRPr="00063D2B">
              <w:rPr>
                <w:rFonts w:eastAsia="Verdana"/>
                <w:spacing w:val="-1"/>
              </w:rPr>
              <w:t xml:space="preserve"> </w:t>
            </w:r>
            <w:r w:rsidRPr="00063D2B">
              <w:rPr>
                <w:rFonts w:eastAsia="Verdana"/>
                <w:strike/>
                <w:spacing w:val="-1"/>
              </w:rPr>
              <w:t>related</w:t>
            </w:r>
            <w:r w:rsidRPr="009C04E1">
              <w:rPr>
                <w:rFonts w:eastAsia="Verdana"/>
                <w:spacing w:val="-1"/>
              </w:rPr>
              <w:t xml:space="preserve"> </w:t>
            </w:r>
            <w:r w:rsidRPr="009C04E1">
              <w:rPr>
                <w:rFonts w:eastAsia="Verdana"/>
                <w:b/>
                <w:spacing w:val="-1"/>
              </w:rPr>
              <w:t>reported</w:t>
            </w:r>
            <w:r w:rsidRPr="009C04E1">
              <w:rPr>
                <w:rFonts w:eastAsia="Verdana"/>
                <w:spacing w:val="-1"/>
              </w:rPr>
              <w:t xml:space="preserve"> sub-score and the</w:t>
            </w:r>
            <w:r>
              <w:rPr>
                <w:rFonts w:eastAsia="Verdana"/>
                <w:spacing w:val="-1"/>
              </w:rPr>
              <w:t xml:space="preserve"> endoscopic score is expected.”</w:t>
            </w:r>
          </w:p>
        </w:tc>
        <w:tc>
          <w:tcPr>
            <w:tcW w:w="1537" w:type="pct"/>
            <w:shd w:val="clear" w:color="auto" w:fill="E1E3F2"/>
          </w:tcPr>
          <w:p w14:paraId="62BE5DA5" w14:textId="77777777" w:rsidR="00236AD4" w:rsidRPr="00B02408" w:rsidRDefault="00236AD4">
            <w:pPr>
              <w:pStyle w:val="TabletextrowsAgency"/>
              <w:rPr>
                <w:b/>
                <w:color w:val="0000FF"/>
              </w:rPr>
            </w:pPr>
          </w:p>
        </w:tc>
      </w:tr>
      <w:tr w:rsidR="00236AD4" w14:paraId="702C110C" w14:textId="77777777">
        <w:tc>
          <w:tcPr>
            <w:tcW w:w="645" w:type="pct"/>
            <w:shd w:val="clear" w:color="auto" w:fill="E1E3F2"/>
          </w:tcPr>
          <w:p w14:paraId="058E9F1C" w14:textId="77777777" w:rsidR="00236AD4" w:rsidRDefault="00236AD4" w:rsidP="00A4724A">
            <w:pPr>
              <w:pStyle w:val="TabletextrowsAgency"/>
              <w:spacing w:line="240" w:lineRule="auto"/>
            </w:pPr>
            <w:r>
              <w:t>152-159</w:t>
            </w:r>
          </w:p>
        </w:tc>
        <w:tc>
          <w:tcPr>
            <w:tcW w:w="812" w:type="pct"/>
            <w:shd w:val="clear" w:color="auto" w:fill="E1E3F2"/>
          </w:tcPr>
          <w:p w14:paraId="4B7AAD38" w14:textId="59E90095" w:rsidR="00236AD4" w:rsidRPr="0058320F" w:rsidRDefault="00236AD4" w:rsidP="00A4724A">
            <w:pPr>
              <w:pStyle w:val="TabletextrowsAgency"/>
              <w:spacing w:line="240" w:lineRule="auto"/>
              <w:rPr>
                <w:b/>
              </w:rPr>
            </w:pPr>
          </w:p>
        </w:tc>
        <w:tc>
          <w:tcPr>
            <w:tcW w:w="2006" w:type="pct"/>
            <w:shd w:val="clear" w:color="auto" w:fill="E1E3F2"/>
          </w:tcPr>
          <w:p w14:paraId="3C541217" w14:textId="77777777" w:rsidR="00236AD4" w:rsidRDefault="00236AD4" w:rsidP="00A4724A">
            <w:pPr>
              <w:pStyle w:val="TabletextrowsAgency"/>
              <w:spacing w:line="240" w:lineRule="auto"/>
            </w:pPr>
            <w:r w:rsidRPr="00BF23BE">
              <w:rPr>
                <w:b/>
              </w:rPr>
              <w:t>Comment:</w:t>
            </w:r>
            <w:r>
              <w:t xml:space="preserve">  The current text referring to symptomatic relief in section 6.1 states...’ Symptomatic relief should be evaluated by patient related outcomes (PRO). There are a number of clinical indices, e.g. SCCAI (simple clinical colitis activity index) mainly including patient reported symptoms. Whereas these may be used provided that they are adequately validated, this guideline recommends the further development and validation of PRO instruments for the use as primary outcome parameter in clinical trials in UC. Such an instrument should include clinically important signs and symptoms of UC, e.g. increased stool frequency and rectal discharge of blood. An instrument to be used as primary outcome measure in pivotal clinical trials in UC should be completely and rigorously validated.’...  This omits reference to the domains of the Mayo Score that has been used previously in clinical trials, and has ambiguity in its recommendation and should be updated.</w:t>
            </w:r>
          </w:p>
          <w:p w14:paraId="0046C08B" w14:textId="77777777" w:rsidR="00236AD4" w:rsidRDefault="00236AD4" w:rsidP="00A4724A">
            <w:pPr>
              <w:pStyle w:val="TabletextrowsAgency"/>
              <w:spacing w:line="240" w:lineRule="auto"/>
            </w:pPr>
          </w:p>
          <w:p w14:paraId="35555336" w14:textId="77777777" w:rsidR="00236AD4" w:rsidRDefault="00236AD4" w:rsidP="00A4724A">
            <w:pPr>
              <w:pStyle w:val="TabletextrowsAgency"/>
              <w:spacing w:line="240" w:lineRule="auto"/>
            </w:pPr>
            <w:r w:rsidRPr="00BF23BE">
              <w:rPr>
                <w:b/>
              </w:rPr>
              <w:t>Proposed Change:</w:t>
            </w:r>
            <w:r>
              <w:t xml:space="preserve"> We proposed the following updated text.</w:t>
            </w:r>
          </w:p>
          <w:p w14:paraId="256619BC" w14:textId="77777777" w:rsidR="00236AD4" w:rsidRDefault="00236AD4" w:rsidP="00A4724A">
            <w:pPr>
              <w:pStyle w:val="TabletextrowsAgency"/>
              <w:spacing w:line="240" w:lineRule="auto"/>
            </w:pPr>
            <w:r>
              <w:t>‘Symptomatic relief should be evaluated by patient</w:t>
            </w:r>
            <w:r w:rsidRPr="007E22AE">
              <w:rPr>
                <w:strike/>
              </w:rPr>
              <w:t xml:space="preserve"> related</w:t>
            </w:r>
            <w:r>
              <w:t xml:space="preserve"> reported outcomes (PRO). There are a number of clinical indices, e.g. SCCAI (simple clinical colitis activity index) </w:t>
            </w:r>
            <w:r w:rsidRPr="006520AD">
              <w:rPr>
                <w:i/>
              </w:rPr>
              <w:t xml:space="preserve">and Mayo Scoring </w:t>
            </w:r>
            <w:r>
              <w:rPr>
                <w:i/>
              </w:rPr>
              <w:t>Tool</w:t>
            </w:r>
            <w:r w:rsidRPr="006520AD">
              <w:rPr>
                <w:i/>
              </w:rPr>
              <w:t xml:space="preserve"> </w:t>
            </w:r>
            <w:r w:rsidRPr="007E22AE">
              <w:rPr>
                <w:i/>
              </w:rPr>
              <w:t>that include assessment</w:t>
            </w:r>
            <w:r>
              <w:t xml:space="preserve"> of </w:t>
            </w:r>
            <w:r w:rsidRPr="006520AD">
              <w:t xml:space="preserve">patient reported symptoms </w:t>
            </w:r>
            <w:r w:rsidRPr="006520AD">
              <w:rPr>
                <w:i/>
              </w:rPr>
              <w:t xml:space="preserve">but </w:t>
            </w:r>
            <w:r>
              <w:rPr>
                <w:i/>
              </w:rPr>
              <w:t xml:space="preserve">current signs and symptoms scales </w:t>
            </w:r>
            <w:r w:rsidRPr="006520AD">
              <w:rPr>
                <w:i/>
              </w:rPr>
              <w:t>are not</w:t>
            </w:r>
            <w:r>
              <w:rPr>
                <w:i/>
              </w:rPr>
              <w:t xml:space="preserve"> considered</w:t>
            </w:r>
            <w:r w:rsidRPr="006520AD">
              <w:rPr>
                <w:i/>
              </w:rPr>
              <w:t xml:space="preserve"> adequately</w:t>
            </w:r>
            <w:r>
              <w:rPr>
                <w:i/>
              </w:rPr>
              <w:t xml:space="preserve"> </w:t>
            </w:r>
            <w:r w:rsidRPr="006520AD">
              <w:rPr>
                <w:i/>
              </w:rPr>
              <w:t xml:space="preserve">validated. </w:t>
            </w:r>
            <w:r>
              <w:t xml:space="preserve">This guideline recommends the further development and validation </w:t>
            </w:r>
            <w:r w:rsidRPr="006520AD">
              <w:rPr>
                <w:i/>
              </w:rPr>
              <w:t xml:space="preserve">of </w:t>
            </w:r>
            <w:r>
              <w:rPr>
                <w:i/>
              </w:rPr>
              <w:t>PRO</w:t>
            </w:r>
            <w:r>
              <w:t xml:space="preserve"> instruments for use as primary outcome parameter in clinical trials in UC. Such an instrument should include clinically important signs and symptoms of UC, e.g. </w:t>
            </w:r>
            <w:r w:rsidRPr="006520AD">
              <w:rPr>
                <w:strike/>
              </w:rPr>
              <w:t xml:space="preserve">increased </w:t>
            </w:r>
            <w:r>
              <w:t>stool frequency and rectal discharge of blood. An instrument to be used as primary outcome measure in pivotal clinical trials in UC should be completely and rigorously validated.</w:t>
            </w:r>
          </w:p>
        </w:tc>
        <w:tc>
          <w:tcPr>
            <w:tcW w:w="1537" w:type="pct"/>
            <w:shd w:val="clear" w:color="auto" w:fill="E1E3F2"/>
          </w:tcPr>
          <w:p w14:paraId="58F5FE5D" w14:textId="77777777" w:rsidR="00236AD4" w:rsidRPr="004A0B3B" w:rsidRDefault="00236AD4" w:rsidP="004A0B3B">
            <w:pPr>
              <w:pStyle w:val="TabletextrowsAgency"/>
              <w:rPr>
                <w:b/>
                <w:color w:val="0000FF"/>
              </w:rPr>
            </w:pPr>
          </w:p>
        </w:tc>
      </w:tr>
      <w:tr w:rsidR="00236AD4" w14:paraId="3343338E" w14:textId="77777777">
        <w:tc>
          <w:tcPr>
            <w:tcW w:w="645" w:type="pct"/>
            <w:shd w:val="clear" w:color="auto" w:fill="E1E3F2"/>
          </w:tcPr>
          <w:p w14:paraId="6596DC56" w14:textId="77777777" w:rsidR="00236AD4" w:rsidRDefault="00236AD4" w:rsidP="00A4724A">
            <w:pPr>
              <w:pStyle w:val="TabletextrowsAgency"/>
              <w:spacing w:line="240" w:lineRule="auto"/>
            </w:pPr>
            <w:r>
              <w:t>164-167</w:t>
            </w:r>
          </w:p>
        </w:tc>
        <w:tc>
          <w:tcPr>
            <w:tcW w:w="812" w:type="pct"/>
            <w:shd w:val="clear" w:color="auto" w:fill="E1E3F2"/>
          </w:tcPr>
          <w:p w14:paraId="678FCD7F" w14:textId="5AC84259" w:rsidR="00236AD4" w:rsidRDefault="00236AD4" w:rsidP="00A4724A">
            <w:pPr>
              <w:pStyle w:val="TabletextrowsAgency"/>
              <w:spacing w:line="240" w:lineRule="auto"/>
            </w:pPr>
          </w:p>
        </w:tc>
        <w:tc>
          <w:tcPr>
            <w:tcW w:w="2006" w:type="pct"/>
            <w:shd w:val="clear" w:color="auto" w:fill="E1E3F2"/>
          </w:tcPr>
          <w:p w14:paraId="12CB5D74" w14:textId="77777777" w:rsidR="00236AD4" w:rsidRDefault="00236AD4" w:rsidP="00A4724A">
            <w:pPr>
              <w:pStyle w:val="TabletextrowsAgency"/>
              <w:spacing w:line="240" w:lineRule="auto"/>
            </w:pPr>
            <w:r>
              <w:t xml:space="preserve">Please note that the Mayo score is a composite scale.  Is the statement that co-primary endpoints (PRO plus endoscopy) are required intended to remove use of a composite index that includes both PRO plus endoscopy, such as the Mayo score?  Will sponsors now need to show impact on both parameters separately? Is the use of the stool frequency and rectal bleeding </w:t>
            </w:r>
            <w:proofErr w:type="spellStart"/>
            <w:r>
              <w:t>subscores</w:t>
            </w:r>
            <w:proofErr w:type="spellEnd"/>
            <w:r>
              <w:t xml:space="preserve"> as one co-primary endpoint and use of the endoscopic </w:t>
            </w:r>
            <w:proofErr w:type="spellStart"/>
            <w:r>
              <w:t>subscore</w:t>
            </w:r>
            <w:proofErr w:type="spellEnd"/>
            <w:r>
              <w:t xml:space="preserve"> as another co-primary endpoint recommended?</w:t>
            </w:r>
          </w:p>
        </w:tc>
        <w:tc>
          <w:tcPr>
            <w:tcW w:w="1537" w:type="pct"/>
            <w:shd w:val="clear" w:color="auto" w:fill="E1E3F2"/>
          </w:tcPr>
          <w:p w14:paraId="1ECCD63A" w14:textId="77777777" w:rsidR="00236AD4" w:rsidRPr="00B02408" w:rsidRDefault="00236AD4">
            <w:pPr>
              <w:pStyle w:val="TabletextrowsAgency"/>
              <w:rPr>
                <w:b/>
                <w:color w:val="0000FF"/>
              </w:rPr>
            </w:pPr>
          </w:p>
        </w:tc>
      </w:tr>
      <w:tr w:rsidR="00236AD4" w14:paraId="0A4DDCA4" w14:textId="77777777">
        <w:tc>
          <w:tcPr>
            <w:tcW w:w="645" w:type="pct"/>
            <w:shd w:val="clear" w:color="auto" w:fill="E1E3F2"/>
          </w:tcPr>
          <w:p w14:paraId="341DA92D" w14:textId="77777777" w:rsidR="00236AD4" w:rsidRDefault="00236AD4" w:rsidP="00714996">
            <w:pPr>
              <w:pStyle w:val="TabletextrowsAgency"/>
              <w:spacing w:line="240" w:lineRule="auto"/>
            </w:pPr>
            <w:r>
              <w:t>164-168</w:t>
            </w:r>
          </w:p>
        </w:tc>
        <w:tc>
          <w:tcPr>
            <w:tcW w:w="812" w:type="pct"/>
            <w:shd w:val="clear" w:color="auto" w:fill="E1E3F2"/>
          </w:tcPr>
          <w:p w14:paraId="70EFEDF9" w14:textId="4FA63197" w:rsidR="00236AD4" w:rsidRPr="00714996" w:rsidRDefault="00236AD4" w:rsidP="00714996">
            <w:pPr>
              <w:pStyle w:val="TabletextrowsAgency"/>
              <w:spacing w:line="240" w:lineRule="auto"/>
              <w:rPr>
                <w:b/>
              </w:rPr>
            </w:pPr>
          </w:p>
        </w:tc>
        <w:tc>
          <w:tcPr>
            <w:tcW w:w="2006" w:type="pct"/>
            <w:shd w:val="clear" w:color="auto" w:fill="E1E3F2"/>
          </w:tcPr>
          <w:p w14:paraId="3F89665D" w14:textId="77777777" w:rsidR="00236AD4" w:rsidRDefault="00236AD4" w:rsidP="00714996">
            <w:pPr>
              <w:pStyle w:val="TabletextrowsAgency"/>
              <w:spacing w:line="240" w:lineRule="auto"/>
            </w:pPr>
            <w:r w:rsidRPr="00BF23BE">
              <w:rPr>
                <w:b/>
                <w:bCs/>
              </w:rPr>
              <w:t>Comment:</w:t>
            </w:r>
            <w:r w:rsidRPr="1A554A54">
              <w:t xml:space="preserve">  </w:t>
            </w:r>
            <w:r>
              <w:t xml:space="preserve">We </w:t>
            </w:r>
            <w:r w:rsidRPr="1A554A54">
              <w:t>advocate the continued use of the total Mayo score (including PGA) until new PRO endpoints/criteria have been validated.  Furthermore, the continued collection of the total Mayo score  will be necessary to compare data collected in active comparator studies (e.g. where the reference arm is infliximab) where the historical data for the reference arm is based on efficacy demonstrated using the criteria of the total Mayo score.</w:t>
            </w:r>
          </w:p>
          <w:p w14:paraId="1528CFD6" w14:textId="77777777" w:rsidR="00236AD4" w:rsidRDefault="00236AD4" w:rsidP="00714996">
            <w:r w:rsidRPr="4234C1CA">
              <w:t xml:space="preserve"> </w:t>
            </w:r>
          </w:p>
          <w:p w14:paraId="59B9F43F" w14:textId="77777777" w:rsidR="00236AD4" w:rsidRPr="006F1705" w:rsidRDefault="00236AD4" w:rsidP="00714996">
            <w:pPr>
              <w:rPr>
                <w:rFonts w:eastAsia="Times New Roman"/>
              </w:rPr>
            </w:pPr>
            <w:r w:rsidRPr="00BF23BE">
              <w:rPr>
                <w:rFonts w:eastAsia="Verdana"/>
                <w:b/>
                <w:bCs/>
              </w:rPr>
              <w:t>Proposed change:</w:t>
            </w:r>
            <w:r w:rsidRPr="4234C1CA">
              <w:rPr>
                <w:rFonts w:eastAsia="Verdana"/>
              </w:rPr>
              <w:t xml:space="preserve"> </w:t>
            </w:r>
            <w:r w:rsidRPr="001C4E49">
              <w:rPr>
                <w:rFonts w:eastAsia="Times New Roman"/>
              </w:rPr>
              <w:t xml:space="preserve">Delete or preface the statement in lines 167-168 which discourages the use of the total Mayo score as a primary interest in future studies with clarification of when use of the total Mayo score might be appropriately acknowledged. </w:t>
            </w:r>
          </w:p>
        </w:tc>
        <w:tc>
          <w:tcPr>
            <w:tcW w:w="1537" w:type="pct"/>
            <w:shd w:val="clear" w:color="auto" w:fill="E1E3F2"/>
          </w:tcPr>
          <w:p w14:paraId="4DDBF4DF" w14:textId="77777777" w:rsidR="00236AD4" w:rsidRDefault="00236AD4">
            <w:pPr>
              <w:pStyle w:val="TabletextrowsAgency"/>
            </w:pPr>
          </w:p>
        </w:tc>
      </w:tr>
      <w:tr w:rsidR="00236AD4" w14:paraId="493472D3" w14:textId="77777777">
        <w:tc>
          <w:tcPr>
            <w:tcW w:w="645" w:type="pct"/>
            <w:shd w:val="clear" w:color="auto" w:fill="E1E3F2"/>
          </w:tcPr>
          <w:p w14:paraId="681639F2" w14:textId="77777777" w:rsidR="00236AD4" w:rsidRDefault="00236AD4" w:rsidP="00A4724A">
            <w:pPr>
              <w:pStyle w:val="TabletextrowsAgency"/>
              <w:spacing w:line="240" w:lineRule="auto"/>
            </w:pPr>
            <w:r>
              <w:t>169-170</w:t>
            </w:r>
          </w:p>
        </w:tc>
        <w:tc>
          <w:tcPr>
            <w:tcW w:w="812" w:type="pct"/>
            <w:shd w:val="clear" w:color="auto" w:fill="E1E3F2"/>
          </w:tcPr>
          <w:p w14:paraId="37B9E5DC" w14:textId="35C93EDB" w:rsidR="00236AD4" w:rsidRDefault="00236AD4" w:rsidP="00A4724A">
            <w:pPr>
              <w:pStyle w:val="TabletextrowsAgency"/>
              <w:spacing w:line="240" w:lineRule="auto"/>
            </w:pPr>
          </w:p>
        </w:tc>
        <w:tc>
          <w:tcPr>
            <w:tcW w:w="2006" w:type="pct"/>
            <w:shd w:val="clear" w:color="auto" w:fill="E1E3F2"/>
          </w:tcPr>
          <w:p w14:paraId="71B406CE" w14:textId="77777777" w:rsidR="00236AD4" w:rsidRDefault="00236AD4" w:rsidP="00A4724A">
            <w:pPr>
              <w:pStyle w:val="TabletextrowsAgency"/>
              <w:spacing w:line="240" w:lineRule="auto"/>
            </w:pPr>
            <w:r w:rsidRPr="00BF23BE">
              <w:rPr>
                <w:b/>
              </w:rPr>
              <w:t>Comment:</w:t>
            </w:r>
            <w:r>
              <w:t xml:space="preserve"> Please indicate if the EMA considers endpoints that include surrogate markers of inflammation suitable to use as secondary or exploratory endpoints.  Will the inclusion of surrogate markers of inflammation lead to additional language in the label?</w:t>
            </w:r>
          </w:p>
          <w:p w14:paraId="2275FD88" w14:textId="77777777" w:rsidR="00236AD4" w:rsidRDefault="00236AD4" w:rsidP="00A4724A">
            <w:pPr>
              <w:pStyle w:val="TabletextrowsAgency"/>
              <w:spacing w:line="240" w:lineRule="auto"/>
            </w:pPr>
          </w:p>
          <w:p w14:paraId="238C0514" w14:textId="77777777" w:rsidR="00236AD4" w:rsidRDefault="00236AD4" w:rsidP="00A4724A">
            <w:pPr>
              <w:pStyle w:val="TabletextrowsAgency"/>
              <w:spacing w:line="240" w:lineRule="auto"/>
            </w:pPr>
            <w:r w:rsidRPr="00BF23BE">
              <w:rPr>
                <w:b/>
              </w:rPr>
              <w:t>Proposed change (if any):</w:t>
            </w:r>
            <w:r>
              <w:t xml:space="preserve">  See above.</w:t>
            </w:r>
          </w:p>
        </w:tc>
        <w:tc>
          <w:tcPr>
            <w:tcW w:w="1537" w:type="pct"/>
            <w:shd w:val="clear" w:color="auto" w:fill="E1E3F2"/>
          </w:tcPr>
          <w:p w14:paraId="4DAB8C5C" w14:textId="77777777" w:rsidR="00236AD4" w:rsidRPr="00B02408" w:rsidRDefault="00236AD4">
            <w:pPr>
              <w:pStyle w:val="TabletextrowsAgency"/>
              <w:rPr>
                <w:b/>
                <w:color w:val="0000FF"/>
              </w:rPr>
            </w:pPr>
          </w:p>
        </w:tc>
      </w:tr>
      <w:tr w:rsidR="00236AD4" w14:paraId="457B0109" w14:textId="77777777">
        <w:tc>
          <w:tcPr>
            <w:tcW w:w="645" w:type="pct"/>
            <w:shd w:val="clear" w:color="auto" w:fill="E1E3F2"/>
          </w:tcPr>
          <w:p w14:paraId="7C25D47A" w14:textId="77777777" w:rsidR="00236AD4" w:rsidRDefault="00236AD4" w:rsidP="00A4724A">
            <w:pPr>
              <w:pStyle w:val="TabletextrowsAgency"/>
              <w:spacing w:line="240" w:lineRule="auto"/>
            </w:pPr>
            <w:r>
              <w:t xml:space="preserve">172-192 </w:t>
            </w:r>
          </w:p>
        </w:tc>
        <w:tc>
          <w:tcPr>
            <w:tcW w:w="812" w:type="pct"/>
            <w:shd w:val="clear" w:color="auto" w:fill="E1E3F2"/>
          </w:tcPr>
          <w:p w14:paraId="525545A1" w14:textId="047D189A" w:rsidR="00236AD4" w:rsidRPr="000D172B" w:rsidRDefault="00236AD4" w:rsidP="00A4724A">
            <w:pPr>
              <w:pStyle w:val="TabletextrowsAgency"/>
              <w:spacing w:line="240" w:lineRule="auto"/>
              <w:rPr>
                <w:b/>
              </w:rPr>
            </w:pPr>
          </w:p>
        </w:tc>
        <w:tc>
          <w:tcPr>
            <w:tcW w:w="2006" w:type="pct"/>
            <w:shd w:val="clear" w:color="auto" w:fill="E1E3F2"/>
          </w:tcPr>
          <w:p w14:paraId="2C5D0E53" w14:textId="77777777" w:rsidR="00236AD4" w:rsidRDefault="00236AD4" w:rsidP="00A4724A">
            <w:pPr>
              <w:pStyle w:val="TabletextrowsAgency"/>
              <w:spacing w:line="240" w:lineRule="auto"/>
            </w:pPr>
            <w:r w:rsidRPr="00BE4945">
              <w:rPr>
                <w:b/>
              </w:rPr>
              <w:t>Comment</w:t>
            </w:r>
            <w:r>
              <w:t xml:space="preserve">: </w:t>
            </w:r>
            <w:r w:rsidRPr="003476DF">
              <w:t>The revised guideline clearly indicates that “remission” of signs and symptoms is the preferred way of scoring the PRO used to support a co-primary endpoint</w:t>
            </w:r>
            <w:r>
              <w:t>.</w:t>
            </w:r>
            <w:r w:rsidRPr="003476DF">
              <w:t xml:space="preserve"> This is contrary to a recent marketing authorisation approved by EMA for </w:t>
            </w:r>
            <w:proofErr w:type="spellStart"/>
            <w:r w:rsidRPr="003476DF">
              <w:t>Entyvio</w:t>
            </w:r>
            <w:proofErr w:type="spellEnd"/>
            <w:r w:rsidRPr="003476DF">
              <w:t xml:space="preserve"> (</w:t>
            </w:r>
            <w:proofErr w:type="spellStart"/>
            <w:r w:rsidRPr="003476DF">
              <w:t>vedolizumab</w:t>
            </w:r>
            <w:proofErr w:type="spellEnd"/>
            <w:r w:rsidRPr="003476DF">
              <w:t xml:space="preserve">) in May 2014 in which the primary endpoint </w:t>
            </w:r>
            <w:r>
              <w:t xml:space="preserve">for induction of remission </w:t>
            </w:r>
            <w:r w:rsidRPr="003476DF">
              <w:t xml:space="preserve">was </w:t>
            </w:r>
            <w:r w:rsidRPr="003476DF">
              <w:rPr>
                <w:rFonts w:hint="eastAsia"/>
              </w:rPr>
              <w:t xml:space="preserve">clinical response </w:t>
            </w:r>
            <w:r w:rsidRPr="003476DF">
              <w:t xml:space="preserve">defined as a </w:t>
            </w:r>
            <w:r w:rsidRPr="003476DF">
              <w:rPr>
                <w:rFonts w:hint="eastAsia"/>
              </w:rPr>
              <w:t xml:space="preserve">reduction in Mayo score of ≥ 3 points and ≥ 30% from baseline and </w:t>
            </w:r>
            <w:r w:rsidRPr="003476DF">
              <w:t xml:space="preserve">a </w:t>
            </w:r>
            <w:r w:rsidRPr="003476DF">
              <w:rPr>
                <w:rFonts w:hint="eastAsia"/>
              </w:rPr>
              <w:t xml:space="preserve">decrease in </w:t>
            </w:r>
            <w:r w:rsidRPr="003476DF">
              <w:t xml:space="preserve">the </w:t>
            </w:r>
            <w:r w:rsidRPr="003476DF">
              <w:rPr>
                <w:rFonts w:hint="eastAsia"/>
              </w:rPr>
              <w:t xml:space="preserve">rectal bleeding </w:t>
            </w:r>
            <w:proofErr w:type="spellStart"/>
            <w:r w:rsidRPr="003476DF">
              <w:rPr>
                <w:rFonts w:hint="eastAsia"/>
              </w:rPr>
              <w:t>subscore</w:t>
            </w:r>
            <w:proofErr w:type="spellEnd"/>
            <w:r w:rsidRPr="003476DF">
              <w:t>. As the trial enrolled moderately to severely</w:t>
            </w:r>
            <w:r>
              <w:t xml:space="preserve"> </w:t>
            </w:r>
            <w:r w:rsidRPr="003476DF">
              <w:rPr>
                <w:rFonts w:hint="eastAsia"/>
              </w:rPr>
              <w:t xml:space="preserve">active </w:t>
            </w:r>
            <w:r w:rsidRPr="003476DF">
              <w:t xml:space="preserve">UC patients with a </w:t>
            </w:r>
            <w:r w:rsidRPr="003476DF">
              <w:rPr>
                <w:rFonts w:hint="eastAsia"/>
              </w:rPr>
              <w:t>Mayo score 6 to 12</w:t>
            </w:r>
            <w:r w:rsidRPr="003476DF">
              <w:t xml:space="preserve">, some patients would have been defined as clinical responders based on less stringent criteria than is being now proposed i.e. with an endpoint score &gt;1. We believe that this less stringent criteria, representing “decreasing the severity of UC” employed in the </w:t>
            </w:r>
            <w:proofErr w:type="spellStart"/>
            <w:r w:rsidRPr="003476DF">
              <w:t>Entyvio</w:t>
            </w:r>
            <w:proofErr w:type="spellEnd"/>
            <w:r w:rsidRPr="003476DF">
              <w:t xml:space="preserve"> development program remains clinically relevant for patients and should be considered as an additional parameter on which to define treatment success beyond remission.</w:t>
            </w:r>
          </w:p>
          <w:p w14:paraId="08FB6205" w14:textId="77777777" w:rsidR="00236AD4" w:rsidRDefault="00236AD4" w:rsidP="00A4724A">
            <w:pPr>
              <w:pStyle w:val="TabletextrowsAgency"/>
              <w:spacing w:line="240" w:lineRule="auto"/>
            </w:pPr>
          </w:p>
          <w:p w14:paraId="2EEC0174" w14:textId="77777777" w:rsidR="00236AD4" w:rsidRPr="007F0A06" w:rsidRDefault="00236AD4" w:rsidP="00A4724A">
            <w:pPr>
              <w:pStyle w:val="TabletextrowsAgency"/>
              <w:spacing w:line="240" w:lineRule="auto"/>
              <w:rPr>
                <w:sz w:val="14"/>
              </w:rPr>
            </w:pPr>
            <w:r w:rsidRPr="00BE4945">
              <w:rPr>
                <w:b/>
              </w:rPr>
              <w:t>Proposed change (if any):</w:t>
            </w:r>
            <w:r>
              <w:t xml:space="preserve"> Agency to clarify if clinical response can be accepted as primary endpoint </w:t>
            </w:r>
          </w:p>
        </w:tc>
        <w:tc>
          <w:tcPr>
            <w:tcW w:w="1537" w:type="pct"/>
            <w:shd w:val="clear" w:color="auto" w:fill="E1E3F2"/>
          </w:tcPr>
          <w:p w14:paraId="2F009C5A" w14:textId="77777777" w:rsidR="00236AD4" w:rsidRPr="00B02408" w:rsidRDefault="00236AD4">
            <w:pPr>
              <w:pStyle w:val="TabletextrowsAgency"/>
              <w:rPr>
                <w:b/>
                <w:color w:val="0000FF"/>
              </w:rPr>
            </w:pPr>
          </w:p>
        </w:tc>
      </w:tr>
      <w:tr w:rsidR="00236AD4" w14:paraId="5B16272E" w14:textId="77777777">
        <w:tc>
          <w:tcPr>
            <w:tcW w:w="645" w:type="pct"/>
            <w:shd w:val="clear" w:color="auto" w:fill="E1E3F2"/>
          </w:tcPr>
          <w:p w14:paraId="1AE39608" w14:textId="77777777" w:rsidR="00236AD4" w:rsidRDefault="00236AD4" w:rsidP="00A4724A">
            <w:pPr>
              <w:pStyle w:val="TabletextrowsAgency"/>
              <w:spacing w:line="240" w:lineRule="auto"/>
            </w:pPr>
            <w:r>
              <w:t>173</w:t>
            </w:r>
          </w:p>
        </w:tc>
        <w:tc>
          <w:tcPr>
            <w:tcW w:w="812" w:type="pct"/>
            <w:shd w:val="clear" w:color="auto" w:fill="E1E3F2"/>
          </w:tcPr>
          <w:p w14:paraId="27FF69A1" w14:textId="4E257288" w:rsidR="00236AD4" w:rsidRPr="004C26BE" w:rsidRDefault="00236AD4" w:rsidP="00A4724A">
            <w:pPr>
              <w:pStyle w:val="TabletextrowsAgency"/>
              <w:spacing w:line="240" w:lineRule="auto"/>
              <w:rPr>
                <w:b/>
              </w:rPr>
            </w:pPr>
          </w:p>
        </w:tc>
        <w:tc>
          <w:tcPr>
            <w:tcW w:w="2006" w:type="pct"/>
            <w:shd w:val="clear" w:color="auto" w:fill="E1E3F2"/>
          </w:tcPr>
          <w:p w14:paraId="0C840C39" w14:textId="77777777" w:rsidR="00236AD4" w:rsidRDefault="00236AD4" w:rsidP="00A4724A">
            <w:pPr>
              <w:pStyle w:val="TabletextrowsAgency"/>
              <w:spacing w:line="240" w:lineRule="auto"/>
            </w:pPr>
            <w:r w:rsidRPr="00BF23BE">
              <w:rPr>
                <w:b/>
              </w:rPr>
              <w:t>Comment:</w:t>
            </w:r>
            <w:r>
              <w:t xml:space="preserve"> Achieving steroid free remission is an appropriate endpoint in clinical trials and in clinical practice. However, it is not an appropriate primary endpoint in induction, as (</w:t>
            </w:r>
            <w:proofErr w:type="spellStart"/>
            <w:r>
              <w:t>i</w:t>
            </w:r>
            <w:proofErr w:type="spellEnd"/>
            <w:r>
              <w:t xml:space="preserve">) not all patients will be on steroids on entry to the study, and (ii) subjects will often remain on a fixed dose of steroids throughout the induction period, with </w:t>
            </w:r>
            <w:proofErr w:type="spellStart"/>
            <w:r>
              <w:t>protocolized</w:t>
            </w:r>
            <w:proofErr w:type="spellEnd"/>
            <w:r>
              <w:t xml:space="preserve"> weaning after achieving response or remission at the end of induction.  Thus, in many trial designs, it is impossible to achieve this endpoint at the end of induction.  The proposal ignores the substantial clinical benefit that many subjects gain by achieving clinical response.  Furthermore, this proposal will lead to unfeasibly large and expensive clinical trials and act as a disincentive for conducting clinical trials in IBD, to the detriment of this patient population with substantial unmet need. </w:t>
            </w:r>
          </w:p>
          <w:p w14:paraId="40D5AC2A" w14:textId="77777777" w:rsidR="00236AD4" w:rsidRDefault="00236AD4" w:rsidP="00A4724A">
            <w:pPr>
              <w:pStyle w:val="TabletextrowsAgency"/>
              <w:spacing w:line="240" w:lineRule="auto"/>
            </w:pPr>
          </w:p>
          <w:p w14:paraId="603AAFB5" w14:textId="77777777" w:rsidR="00236AD4" w:rsidRDefault="00236AD4" w:rsidP="00A4724A">
            <w:pPr>
              <w:pStyle w:val="TabletextrowsAgency"/>
              <w:spacing w:line="240" w:lineRule="auto"/>
            </w:pPr>
            <w:r w:rsidRPr="00BF23BE">
              <w:rPr>
                <w:b/>
              </w:rPr>
              <w:t>Proposed change (if any):</w:t>
            </w:r>
            <w:r>
              <w:t xml:space="preserve"> Consider changing steroid free remission to “an appropriate goal of treatment and an appropriate secondary endpoint”.</w:t>
            </w:r>
          </w:p>
        </w:tc>
        <w:tc>
          <w:tcPr>
            <w:tcW w:w="1537" w:type="pct"/>
            <w:shd w:val="clear" w:color="auto" w:fill="E1E3F2"/>
          </w:tcPr>
          <w:p w14:paraId="46739489" w14:textId="77777777" w:rsidR="00236AD4" w:rsidRDefault="00236AD4">
            <w:pPr>
              <w:pStyle w:val="TabletextrowsAgency"/>
            </w:pPr>
          </w:p>
        </w:tc>
      </w:tr>
      <w:tr w:rsidR="00236AD4" w14:paraId="74F9CB3F" w14:textId="77777777">
        <w:tc>
          <w:tcPr>
            <w:tcW w:w="645" w:type="pct"/>
            <w:shd w:val="clear" w:color="auto" w:fill="E1E3F2"/>
          </w:tcPr>
          <w:p w14:paraId="7BEA00A0" w14:textId="77777777" w:rsidR="00236AD4" w:rsidRDefault="00236AD4" w:rsidP="00A4724A">
            <w:pPr>
              <w:pStyle w:val="TabletextrowsAgency"/>
              <w:spacing w:line="240" w:lineRule="auto"/>
            </w:pPr>
            <w:r>
              <w:t>173-176</w:t>
            </w:r>
          </w:p>
        </w:tc>
        <w:tc>
          <w:tcPr>
            <w:tcW w:w="812" w:type="pct"/>
            <w:shd w:val="clear" w:color="auto" w:fill="E1E3F2"/>
          </w:tcPr>
          <w:p w14:paraId="5B26F010" w14:textId="0DA7BA27" w:rsidR="00236AD4" w:rsidRPr="0058320F" w:rsidRDefault="00236AD4" w:rsidP="00A4724A">
            <w:pPr>
              <w:pStyle w:val="TabletextrowsAgency"/>
              <w:spacing w:line="240" w:lineRule="auto"/>
              <w:rPr>
                <w:b/>
              </w:rPr>
            </w:pPr>
          </w:p>
        </w:tc>
        <w:tc>
          <w:tcPr>
            <w:tcW w:w="2006" w:type="pct"/>
            <w:shd w:val="clear" w:color="auto" w:fill="E1E3F2"/>
          </w:tcPr>
          <w:p w14:paraId="7FD46C0D" w14:textId="77777777" w:rsidR="00236AD4" w:rsidRDefault="00236AD4" w:rsidP="00A4724A">
            <w:pPr>
              <w:pStyle w:val="TabletextrowsAgency"/>
              <w:spacing w:line="240" w:lineRule="auto"/>
            </w:pPr>
            <w:r w:rsidRPr="00BF23BE">
              <w:rPr>
                <w:b/>
              </w:rPr>
              <w:t>Comment:</w:t>
            </w:r>
            <w:r>
              <w:t xml:space="preserve"> Text in lines 173-176 does not include text regarding induction/maintenance of a clinical response ‘Achieving/maintaining remission free of steroids is an appropriate primary end-point. In patients receiving systemic steroids these should be tapered according to predefined schedules. For induction studies of short duration requiring early evaluation of efficacy a low dose of steroids may be acceptable provided that the dose is clearly justified and pre-specified.’</w:t>
            </w:r>
          </w:p>
          <w:p w14:paraId="1342318D" w14:textId="77777777" w:rsidR="00236AD4" w:rsidRDefault="00236AD4" w:rsidP="00A4724A">
            <w:pPr>
              <w:pStyle w:val="TabletextrowsAgency"/>
              <w:spacing w:line="240" w:lineRule="auto"/>
            </w:pPr>
          </w:p>
          <w:p w14:paraId="6D73A764" w14:textId="77777777" w:rsidR="00236AD4" w:rsidRPr="00BF23BE" w:rsidRDefault="00236AD4" w:rsidP="00A4724A">
            <w:pPr>
              <w:pStyle w:val="TabletextrowsAgency"/>
              <w:spacing w:line="240" w:lineRule="auto"/>
              <w:rPr>
                <w:b/>
              </w:rPr>
            </w:pPr>
            <w:r w:rsidRPr="00BF23BE">
              <w:rPr>
                <w:b/>
              </w:rPr>
              <w:t>Proposed change (if any):</w:t>
            </w:r>
          </w:p>
          <w:p w14:paraId="08E997E0" w14:textId="77777777" w:rsidR="00236AD4" w:rsidRDefault="00236AD4" w:rsidP="00A4724A">
            <w:pPr>
              <w:pStyle w:val="TabletextrowsAgency"/>
              <w:spacing w:line="240" w:lineRule="auto"/>
            </w:pPr>
            <w:r>
              <w:t>Achieving/maintaining remission free of steroids is an appropriate primary end-point</w:t>
            </w:r>
            <w:r w:rsidRPr="00C57272">
              <w:t xml:space="preserve">. </w:t>
            </w:r>
            <w:r w:rsidRPr="00C57272">
              <w:rPr>
                <w:i/>
              </w:rPr>
              <w:t>Alternatively achieving/maintaining a clinical response based on a clearly defined and agreed upon response criteria would be considered as an appropriate primary endpoint.</w:t>
            </w:r>
            <w:r>
              <w:t xml:space="preserve">  In patients receiving systemic steroids these should be tapered according to predefined schedules. For induction studies of short duration requiring early evaluation of efficacy a low dose of steroids may be acceptable provided that the dose is clearly justified and pre-specified.</w:t>
            </w:r>
          </w:p>
        </w:tc>
        <w:tc>
          <w:tcPr>
            <w:tcW w:w="1537" w:type="pct"/>
            <w:shd w:val="clear" w:color="auto" w:fill="E1E3F2"/>
          </w:tcPr>
          <w:p w14:paraId="04741943" w14:textId="77777777" w:rsidR="00236AD4" w:rsidRPr="00B02408" w:rsidRDefault="00236AD4">
            <w:pPr>
              <w:pStyle w:val="TabletextrowsAgency"/>
              <w:rPr>
                <w:b/>
                <w:color w:val="0000FF"/>
              </w:rPr>
            </w:pPr>
          </w:p>
        </w:tc>
      </w:tr>
      <w:tr w:rsidR="00236AD4" w14:paraId="1734014D" w14:textId="77777777">
        <w:tc>
          <w:tcPr>
            <w:tcW w:w="645" w:type="pct"/>
            <w:shd w:val="clear" w:color="auto" w:fill="E1E3F2"/>
          </w:tcPr>
          <w:p w14:paraId="2DF71AA9" w14:textId="77777777" w:rsidR="00236AD4" w:rsidRDefault="00236AD4" w:rsidP="00714996">
            <w:pPr>
              <w:pStyle w:val="TabletextrowsAgency"/>
              <w:spacing w:line="240" w:lineRule="auto"/>
            </w:pPr>
            <w:r>
              <w:t>174-176</w:t>
            </w:r>
          </w:p>
        </w:tc>
        <w:tc>
          <w:tcPr>
            <w:tcW w:w="812" w:type="pct"/>
            <w:shd w:val="clear" w:color="auto" w:fill="E1E3F2"/>
          </w:tcPr>
          <w:p w14:paraId="7BC69916" w14:textId="769D2F79" w:rsidR="00236AD4" w:rsidRPr="00714996" w:rsidRDefault="00236AD4" w:rsidP="00714996">
            <w:pPr>
              <w:pStyle w:val="TabletextrowsAgency"/>
              <w:spacing w:line="240" w:lineRule="auto"/>
              <w:rPr>
                <w:b/>
              </w:rPr>
            </w:pPr>
          </w:p>
        </w:tc>
        <w:tc>
          <w:tcPr>
            <w:tcW w:w="2006" w:type="pct"/>
            <w:shd w:val="clear" w:color="auto" w:fill="E1E3F2"/>
          </w:tcPr>
          <w:p w14:paraId="0CEBDD14" w14:textId="77777777" w:rsidR="00236AD4" w:rsidRDefault="00236AD4" w:rsidP="00714996">
            <w:pPr>
              <w:rPr>
                <w:rFonts w:eastAsia="Verdana"/>
              </w:rPr>
            </w:pPr>
            <w:r w:rsidRPr="00BF23BE">
              <w:rPr>
                <w:rFonts w:eastAsia="Verdana"/>
                <w:b/>
                <w:bCs/>
              </w:rPr>
              <w:t>Comment</w:t>
            </w:r>
            <w:r w:rsidRPr="00BF23BE">
              <w:rPr>
                <w:rFonts w:eastAsia="Verdana"/>
                <w:b/>
              </w:rPr>
              <w:t>:</w:t>
            </w:r>
            <w:r w:rsidRPr="4234C1CA">
              <w:rPr>
                <w:rFonts w:eastAsia="Verdana"/>
              </w:rPr>
              <w:t xml:space="preserve"> We agree, that when feasible, a low dose corticosteroid is desirable for entry into clinical trials based on several considerations including minimizing the treatment effect due to the corticosteroids and reducing the potential side effects of high dose steroids that are typically maintained at baseline doses throughout the induction period.   However, we do not recommend exclusion of patients who require higher doses of </w:t>
            </w:r>
            <w:proofErr w:type="gramStart"/>
            <w:r w:rsidRPr="4234C1CA">
              <w:rPr>
                <w:rFonts w:eastAsia="Verdana"/>
              </w:rPr>
              <w:t>corticosteroids  as</w:t>
            </w:r>
            <w:proofErr w:type="gramEnd"/>
            <w:r w:rsidRPr="4234C1CA">
              <w:rPr>
                <w:rFonts w:eastAsia="Verdana"/>
              </w:rPr>
              <w:t xml:space="preserve"> this practice would have the potential to exclude patients who have higher disease activity and therefore limit the ability to understand the effectiveness and safety of the therapy in this more severe population (Ha et al, Clinical Gastroenterology and </w:t>
            </w:r>
            <w:proofErr w:type="spellStart"/>
            <w:r w:rsidRPr="4234C1CA">
              <w:rPr>
                <w:rFonts w:eastAsia="Verdana"/>
              </w:rPr>
              <w:t>Hepatology</w:t>
            </w:r>
            <w:proofErr w:type="spellEnd"/>
            <w:r w:rsidRPr="4234C1CA">
              <w:rPr>
                <w:rFonts w:eastAsia="Verdana"/>
              </w:rPr>
              <w:t>, 2012, 12:1002-1007).</w:t>
            </w:r>
          </w:p>
          <w:p w14:paraId="4F8CF3F3" w14:textId="77777777" w:rsidR="00236AD4" w:rsidRDefault="00236AD4" w:rsidP="00714996">
            <w:pPr>
              <w:rPr>
                <w:rFonts w:eastAsia="Verdana"/>
              </w:rPr>
            </w:pPr>
          </w:p>
          <w:p w14:paraId="6D778725" w14:textId="77777777" w:rsidR="00236AD4" w:rsidRPr="006F1705" w:rsidRDefault="00236AD4" w:rsidP="00714996">
            <w:pPr>
              <w:rPr>
                <w:rFonts w:eastAsia="Verdana"/>
              </w:rPr>
            </w:pPr>
            <w:r w:rsidRPr="00BF23BE">
              <w:rPr>
                <w:rFonts w:eastAsia="Verdana"/>
                <w:b/>
              </w:rPr>
              <w:t>Proposed change:</w:t>
            </w:r>
            <w:r w:rsidRPr="0066039B">
              <w:rPr>
                <w:rFonts w:eastAsia="Verdana"/>
                <w:b/>
              </w:rPr>
              <w:t xml:space="preserve">  </w:t>
            </w:r>
            <w:r>
              <w:rPr>
                <w:rFonts w:eastAsia="Verdana"/>
              </w:rPr>
              <w:t>Delete reference to “low dose</w:t>
            </w:r>
            <w:proofErr w:type="gramStart"/>
            <w:r>
              <w:rPr>
                <w:rFonts w:eastAsia="Verdana"/>
              </w:rPr>
              <w:t>”  and</w:t>
            </w:r>
            <w:proofErr w:type="gramEnd"/>
            <w:r>
              <w:rPr>
                <w:rFonts w:eastAsia="Verdana"/>
              </w:rPr>
              <w:t xml:space="preserve"> restate as “….concomitant steroids would be acceptable provided that the dose is clearly justified and pre-specified.”</w:t>
            </w:r>
          </w:p>
        </w:tc>
        <w:tc>
          <w:tcPr>
            <w:tcW w:w="1537" w:type="pct"/>
            <w:shd w:val="clear" w:color="auto" w:fill="E1E3F2"/>
          </w:tcPr>
          <w:p w14:paraId="1D88766D" w14:textId="77777777" w:rsidR="00236AD4" w:rsidRPr="00B02408" w:rsidRDefault="00236AD4">
            <w:pPr>
              <w:pStyle w:val="TabletextrowsAgency"/>
              <w:rPr>
                <w:b/>
                <w:color w:val="0000FF"/>
              </w:rPr>
            </w:pPr>
          </w:p>
        </w:tc>
      </w:tr>
      <w:tr w:rsidR="00236AD4" w14:paraId="53D44ED9" w14:textId="77777777">
        <w:tc>
          <w:tcPr>
            <w:tcW w:w="645" w:type="pct"/>
            <w:shd w:val="clear" w:color="auto" w:fill="E1E3F2"/>
          </w:tcPr>
          <w:p w14:paraId="4122A84F" w14:textId="77777777" w:rsidR="00236AD4" w:rsidRDefault="00236AD4" w:rsidP="00A4724A">
            <w:pPr>
              <w:pStyle w:val="TabletextrowsAgency"/>
              <w:spacing w:line="240" w:lineRule="auto"/>
            </w:pPr>
            <w:r>
              <w:t>175</w:t>
            </w:r>
          </w:p>
        </w:tc>
        <w:tc>
          <w:tcPr>
            <w:tcW w:w="812" w:type="pct"/>
            <w:shd w:val="clear" w:color="auto" w:fill="E1E3F2"/>
          </w:tcPr>
          <w:p w14:paraId="699FC786" w14:textId="073335D6" w:rsidR="00236AD4" w:rsidRDefault="00236AD4" w:rsidP="00A4724A">
            <w:pPr>
              <w:pStyle w:val="TabletextrowsAgency"/>
              <w:spacing w:line="240" w:lineRule="auto"/>
            </w:pPr>
          </w:p>
        </w:tc>
        <w:tc>
          <w:tcPr>
            <w:tcW w:w="2006" w:type="pct"/>
            <w:shd w:val="clear" w:color="auto" w:fill="E1E3F2"/>
          </w:tcPr>
          <w:p w14:paraId="31B63DF1" w14:textId="77777777" w:rsidR="00236AD4" w:rsidRDefault="00236AD4" w:rsidP="00A4724A">
            <w:pPr>
              <w:pStyle w:val="TabletextrowsAgency"/>
              <w:spacing w:line="240" w:lineRule="auto"/>
            </w:pPr>
            <w:r>
              <w:t>Clarity is needed regarding the definition of a “short duration.”  It seems reasonable to allow steroids to remain stable during induction studies of up to at least 12 weeks (at a dose of 20 mg/day or less) in order to avoid confounding due to differential rates of taper in the treatment arms.  It is not necessarily appropriate to withdraw steroids in a patient who has not yet demonstrated a response to study drug. Also, strict tapering schedules are difficult to define and to standardize given the multiple different corticosteroids available.</w:t>
            </w:r>
          </w:p>
        </w:tc>
        <w:tc>
          <w:tcPr>
            <w:tcW w:w="1537" w:type="pct"/>
            <w:shd w:val="clear" w:color="auto" w:fill="E1E3F2"/>
          </w:tcPr>
          <w:p w14:paraId="37730D5C" w14:textId="77777777" w:rsidR="00236AD4" w:rsidRPr="00B02408" w:rsidRDefault="00236AD4">
            <w:pPr>
              <w:pStyle w:val="TabletextrowsAgency"/>
              <w:rPr>
                <w:b/>
                <w:color w:val="0000FF"/>
              </w:rPr>
            </w:pPr>
          </w:p>
        </w:tc>
      </w:tr>
      <w:tr w:rsidR="00236AD4" w14:paraId="02687C1F" w14:textId="77777777">
        <w:tc>
          <w:tcPr>
            <w:tcW w:w="645" w:type="pct"/>
            <w:shd w:val="clear" w:color="auto" w:fill="E1E3F2"/>
          </w:tcPr>
          <w:p w14:paraId="12E1BF2A" w14:textId="77777777" w:rsidR="00236AD4" w:rsidRDefault="00236AD4" w:rsidP="00A4724A">
            <w:pPr>
              <w:pStyle w:val="TabletextrowsAgency"/>
              <w:spacing w:line="240" w:lineRule="auto"/>
            </w:pPr>
            <w:r>
              <w:t>177-178</w:t>
            </w:r>
          </w:p>
        </w:tc>
        <w:tc>
          <w:tcPr>
            <w:tcW w:w="812" w:type="pct"/>
            <w:shd w:val="clear" w:color="auto" w:fill="E1E3F2"/>
          </w:tcPr>
          <w:p w14:paraId="796F6A0C" w14:textId="52A51667" w:rsidR="00236AD4" w:rsidRDefault="00236AD4" w:rsidP="00A4724A">
            <w:pPr>
              <w:pStyle w:val="TabletextrowsAgency"/>
              <w:spacing w:line="240" w:lineRule="auto"/>
            </w:pPr>
          </w:p>
        </w:tc>
        <w:tc>
          <w:tcPr>
            <w:tcW w:w="2006" w:type="pct"/>
            <w:shd w:val="clear" w:color="auto" w:fill="E1E3F2"/>
          </w:tcPr>
          <w:p w14:paraId="42444C9D" w14:textId="77777777" w:rsidR="00236AD4" w:rsidRPr="002A54B8" w:rsidRDefault="00236AD4" w:rsidP="00A4724A">
            <w:pPr>
              <w:pStyle w:val="TabletextrowsAgency"/>
              <w:spacing w:line="240" w:lineRule="auto"/>
            </w:pPr>
            <w:r w:rsidRPr="002A6DC3">
              <w:rPr>
                <w:b/>
              </w:rPr>
              <w:t>Comment:</w:t>
            </w:r>
            <w:r w:rsidRPr="002A54B8">
              <w:t xml:space="preserve"> Please clarify that signs and symptoms refer to stool frequency and rectal bleeding. Please add definition for signs and symptoms, i.e. stool frequency  (SF = 0-1) and rectal bleeding (RB =0)</w:t>
            </w:r>
          </w:p>
          <w:p w14:paraId="513BFF6C" w14:textId="77777777" w:rsidR="00236AD4" w:rsidRPr="002A54B8" w:rsidRDefault="00236AD4" w:rsidP="00A4724A">
            <w:pPr>
              <w:pStyle w:val="TabletextrowsAgency"/>
              <w:spacing w:line="240" w:lineRule="auto"/>
            </w:pPr>
          </w:p>
          <w:p w14:paraId="05C2AAA7" w14:textId="77777777" w:rsidR="00236AD4" w:rsidRDefault="00236AD4" w:rsidP="00A4724A">
            <w:pPr>
              <w:pStyle w:val="TabletextrowsAgency"/>
              <w:spacing w:line="240" w:lineRule="auto"/>
              <w:rPr>
                <w:b/>
              </w:rPr>
            </w:pPr>
            <w:r w:rsidRPr="002A6DC3">
              <w:rPr>
                <w:b/>
              </w:rPr>
              <w:t xml:space="preserve">Proposed change (if any): </w:t>
            </w:r>
          </w:p>
          <w:p w14:paraId="18198909" w14:textId="77777777" w:rsidR="00236AD4" w:rsidRPr="006F1705" w:rsidRDefault="00236AD4" w:rsidP="00A4724A">
            <w:pPr>
              <w:pStyle w:val="TabletextrowsAgency"/>
              <w:spacing w:line="240" w:lineRule="auto"/>
              <w:rPr>
                <w:color w:val="FF0000"/>
              </w:rPr>
            </w:pPr>
            <w:r w:rsidRPr="002A54B8">
              <w:rPr>
                <w:b/>
              </w:rPr>
              <w:t>Signs and symptoms are defined by stool frequency  (SF = 0-1) and rectal bleeding (RB =0)</w:t>
            </w:r>
          </w:p>
        </w:tc>
        <w:tc>
          <w:tcPr>
            <w:tcW w:w="1537" w:type="pct"/>
            <w:shd w:val="clear" w:color="auto" w:fill="E1E3F2"/>
          </w:tcPr>
          <w:p w14:paraId="26AAD2DF" w14:textId="77777777" w:rsidR="00236AD4" w:rsidRPr="00B02408" w:rsidRDefault="00236AD4">
            <w:pPr>
              <w:pStyle w:val="TabletextrowsAgency"/>
              <w:rPr>
                <w:b/>
                <w:color w:val="0000FF"/>
              </w:rPr>
            </w:pPr>
          </w:p>
        </w:tc>
      </w:tr>
      <w:tr w:rsidR="00236AD4" w14:paraId="1145F462" w14:textId="77777777">
        <w:tc>
          <w:tcPr>
            <w:tcW w:w="645" w:type="pct"/>
            <w:shd w:val="clear" w:color="auto" w:fill="E1E3F2"/>
          </w:tcPr>
          <w:p w14:paraId="7D6E7332" w14:textId="77777777" w:rsidR="00236AD4" w:rsidRDefault="00236AD4" w:rsidP="00881A20">
            <w:pPr>
              <w:pStyle w:val="TabletextrowsAgency"/>
              <w:spacing w:line="240" w:lineRule="auto"/>
              <w:rPr>
                <w:highlight w:val="yellow"/>
              </w:rPr>
            </w:pPr>
            <w:r>
              <w:t>184-187</w:t>
            </w:r>
          </w:p>
        </w:tc>
        <w:tc>
          <w:tcPr>
            <w:tcW w:w="812" w:type="pct"/>
            <w:shd w:val="clear" w:color="auto" w:fill="E1E3F2"/>
          </w:tcPr>
          <w:p w14:paraId="11463F61" w14:textId="22594815" w:rsidR="00236AD4" w:rsidRPr="00881A20" w:rsidRDefault="00236AD4" w:rsidP="00881A20">
            <w:pPr>
              <w:pStyle w:val="TabletextrowsAgency"/>
              <w:spacing w:line="240" w:lineRule="auto"/>
              <w:rPr>
                <w:b/>
                <w:highlight w:val="yellow"/>
              </w:rPr>
            </w:pPr>
          </w:p>
        </w:tc>
        <w:tc>
          <w:tcPr>
            <w:tcW w:w="2006" w:type="pct"/>
            <w:shd w:val="clear" w:color="auto" w:fill="E1E3F2"/>
          </w:tcPr>
          <w:p w14:paraId="4EFA1A2B" w14:textId="77777777" w:rsidR="00236AD4" w:rsidRDefault="00236AD4" w:rsidP="00881A20">
            <w:pPr>
              <w:pStyle w:val="Default"/>
              <w:rPr>
                <w:sz w:val="18"/>
                <w:szCs w:val="18"/>
                <w:highlight w:val="yellow"/>
              </w:rPr>
            </w:pPr>
            <w:r w:rsidRPr="00BF23BE">
              <w:rPr>
                <w:b/>
                <w:bCs/>
                <w:sz w:val="18"/>
                <w:szCs w:val="18"/>
              </w:rPr>
              <w:t>Comment:</w:t>
            </w:r>
            <w:r w:rsidRPr="2C25EAEF">
              <w:rPr>
                <w:sz w:val="18"/>
                <w:szCs w:val="18"/>
              </w:rPr>
              <w:t xml:space="preserve">  The guidance </w:t>
            </w:r>
            <w:proofErr w:type="gramStart"/>
            <w:r w:rsidRPr="2C25EAEF">
              <w:rPr>
                <w:sz w:val="18"/>
                <w:szCs w:val="18"/>
              </w:rPr>
              <w:t>states :</w:t>
            </w:r>
            <w:proofErr w:type="gramEnd"/>
            <w:r w:rsidRPr="2C25EAEF">
              <w:rPr>
                <w:sz w:val="18"/>
                <w:szCs w:val="18"/>
              </w:rPr>
              <w:t>“Correspondingly, when clinical symptoms are evaluated using the clinical part of the Mayo score, a score of 0 or 1 may be used to define symptomatic remission”</w:t>
            </w:r>
          </w:p>
          <w:p w14:paraId="6BCACAB8" w14:textId="77777777" w:rsidR="00236AD4" w:rsidRDefault="00236AD4" w:rsidP="00881A20">
            <w:pPr>
              <w:pStyle w:val="Default"/>
              <w:rPr>
                <w:sz w:val="18"/>
                <w:szCs w:val="18"/>
                <w:highlight w:val="yellow"/>
              </w:rPr>
            </w:pPr>
            <w:r w:rsidRPr="2C25EAEF">
              <w:rPr>
                <w:sz w:val="18"/>
                <w:szCs w:val="18"/>
              </w:rPr>
              <w:t>and</w:t>
            </w:r>
          </w:p>
          <w:p w14:paraId="5DCFF2A6" w14:textId="77777777" w:rsidR="00236AD4" w:rsidRDefault="00236AD4" w:rsidP="00881A20">
            <w:pPr>
              <w:pStyle w:val="Default"/>
              <w:rPr>
                <w:sz w:val="18"/>
                <w:szCs w:val="18"/>
                <w:highlight w:val="yellow"/>
              </w:rPr>
            </w:pPr>
            <w:r w:rsidRPr="2C25EAEF">
              <w:rPr>
                <w:sz w:val="18"/>
                <w:szCs w:val="18"/>
              </w:rPr>
              <w:t>“Irrespective of scale used, the definition of remission should encompass cessation of rectal bleeding”.</w:t>
            </w:r>
          </w:p>
          <w:p w14:paraId="0D9CA33F" w14:textId="77777777" w:rsidR="00236AD4" w:rsidRDefault="00236AD4" w:rsidP="00881A20">
            <w:pPr>
              <w:pStyle w:val="Default"/>
              <w:rPr>
                <w:sz w:val="18"/>
                <w:szCs w:val="18"/>
                <w:highlight w:val="yellow"/>
              </w:rPr>
            </w:pPr>
          </w:p>
          <w:p w14:paraId="4D2F72AA" w14:textId="77777777" w:rsidR="00236AD4" w:rsidRDefault="00236AD4" w:rsidP="00881A20">
            <w:pPr>
              <w:pStyle w:val="Default"/>
              <w:rPr>
                <w:sz w:val="18"/>
                <w:szCs w:val="18"/>
                <w:highlight w:val="yellow"/>
              </w:rPr>
            </w:pPr>
            <w:r w:rsidRPr="2C25EAEF">
              <w:rPr>
                <w:sz w:val="18"/>
                <w:szCs w:val="18"/>
              </w:rPr>
              <w:t>We believe that these two criteria might contradict each other.  A Mayo score of 1 could result from the bleeding score of 1 (= “streaks of blood with stool less than half the time”), indicating rectal bleeding.</w:t>
            </w:r>
          </w:p>
          <w:p w14:paraId="304EC83D" w14:textId="77777777" w:rsidR="00236AD4" w:rsidRDefault="00236AD4" w:rsidP="00881A20">
            <w:pPr>
              <w:pStyle w:val="Default"/>
              <w:rPr>
                <w:sz w:val="18"/>
                <w:szCs w:val="18"/>
                <w:highlight w:val="yellow"/>
              </w:rPr>
            </w:pPr>
          </w:p>
          <w:p w14:paraId="596495E3" w14:textId="77777777" w:rsidR="00236AD4" w:rsidRPr="006F1705" w:rsidRDefault="00236AD4" w:rsidP="00881A20">
            <w:pPr>
              <w:pStyle w:val="Default"/>
              <w:rPr>
                <w:sz w:val="18"/>
                <w:szCs w:val="18"/>
              </w:rPr>
            </w:pPr>
            <w:r w:rsidRPr="00BF23BE">
              <w:rPr>
                <w:b/>
                <w:bCs/>
                <w:sz w:val="18"/>
                <w:szCs w:val="18"/>
              </w:rPr>
              <w:t>Proposed change</w:t>
            </w:r>
            <w:r w:rsidRPr="00BF23BE">
              <w:rPr>
                <w:b/>
                <w:sz w:val="18"/>
                <w:szCs w:val="18"/>
              </w:rPr>
              <w:t>:</w:t>
            </w:r>
            <w:r>
              <w:rPr>
                <w:sz w:val="18"/>
                <w:szCs w:val="18"/>
              </w:rPr>
              <w:t xml:space="preserve"> Replace recommended definition of remission with the following:</w:t>
            </w:r>
            <w:r w:rsidRPr="2C25EAEF">
              <w:rPr>
                <w:sz w:val="18"/>
                <w:szCs w:val="18"/>
              </w:rPr>
              <w:t xml:space="preserve"> </w:t>
            </w:r>
            <w:r>
              <w:rPr>
                <w:sz w:val="18"/>
                <w:szCs w:val="18"/>
              </w:rPr>
              <w:t>“C</w:t>
            </w:r>
            <w:r w:rsidRPr="2C25EAEF">
              <w:rPr>
                <w:sz w:val="18"/>
                <w:szCs w:val="18"/>
              </w:rPr>
              <w:t xml:space="preserve">linical remission </w:t>
            </w:r>
            <w:proofErr w:type="gramStart"/>
            <w:r w:rsidRPr="2C25EAEF">
              <w:rPr>
                <w:sz w:val="18"/>
                <w:szCs w:val="18"/>
              </w:rPr>
              <w:t>could  be</w:t>
            </w:r>
            <w:proofErr w:type="gramEnd"/>
            <w:r w:rsidRPr="2C25EAEF">
              <w:rPr>
                <w:sz w:val="18"/>
                <w:szCs w:val="18"/>
              </w:rPr>
              <w:t xml:space="preserve"> defined as a Mayo score ≤ 2 points, with bleeding score=0 and n</w:t>
            </w:r>
            <w:r>
              <w:rPr>
                <w:sz w:val="18"/>
                <w:szCs w:val="18"/>
              </w:rPr>
              <w:t xml:space="preserve">o other individual </w:t>
            </w:r>
            <w:proofErr w:type="spellStart"/>
            <w:r>
              <w:rPr>
                <w:sz w:val="18"/>
                <w:szCs w:val="18"/>
              </w:rPr>
              <w:t>subscore</w:t>
            </w:r>
            <w:proofErr w:type="spellEnd"/>
            <w:r>
              <w:rPr>
                <w:sz w:val="18"/>
                <w:szCs w:val="18"/>
              </w:rPr>
              <w:t xml:space="preserve"> &gt; 1”.</w:t>
            </w:r>
          </w:p>
        </w:tc>
        <w:tc>
          <w:tcPr>
            <w:tcW w:w="1537" w:type="pct"/>
            <w:shd w:val="clear" w:color="auto" w:fill="E1E3F2"/>
          </w:tcPr>
          <w:p w14:paraId="02D71B7B" w14:textId="77777777" w:rsidR="00236AD4" w:rsidRPr="00B02408" w:rsidRDefault="00236AD4">
            <w:pPr>
              <w:pStyle w:val="TabletextrowsAgency"/>
              <w:rPr>
                <w:b/>
                <w:color w:val="0000FF"/>
              </w:rPr>
            </w:pPr>
          </w:p>
        </w:tc>
      </w:tr>
      <w:tr w:rsidR="00236AD4" w14:paraId="1841C87E" w14:textId="77777777">
        <w:tc>
          <w:tcPr>
            <w:tcW w:w="645" w:type="pct"/>
            <w:shd w:val="clear" w:color="auto" w:fill="E1E3F2"/>
          </w:tcPr>
          <w:p w14:paraId="4544722C" w14:textId="77777777" w:rsidR="00236AD4" w:rsidRDefault="00236AD4" w:rsidP="00A4724A">
            <w:pPr>
              <w:pStyle w:val="TabletextrowsAgency"/>
              <w:spacing w:line="240" w:lineRule="auto"/>
            </w:pPr>
            <w:r>
              <w:t>188</w:t>
            </w:r>
          </w:p>
        </w:tc>
        <w:tc>
          <w:tcPr>
            <w:tcW w:w="812" w:type="pct"/>
            <w:shd w:val="clear" w:color="auto" w:fill="E1E3F2"/>
          </w:tcPr>
          <w:p w14:paraId="6DDCE4BD" w14:textId="562F1F3A" w:rsidR="00236AD4" w:rsidRPr="007C6F92" w:rsidRDefault="00236AD4" w:rsidP="00A4724A">
            <w:pPr>
              <w:pStyle w:val="TabletextrowsAgency"/>
              <w:spacing w:line="240" w:lineRule="auto"/>
            </w:pPr>
          </w:p>
        </w:tc>
        <w:tc>
          <w:tcPr>
            <w:tcW w:w="2006" w:type="pct"/>
            <w:shd w:val="clear" w:color="auto" w:fill="E1E3F2"/>
          </w:tcPr>
          <w:p w14:paraId="4E400FEF" w14:textId="77777777" w:rsidR="00236AD4" w:rsidRPr="00E3461B" w:rsidRDefault="00236AD4" w:rsidP="00A4724A">
            <w:pPr>
              <w:pStyle w:val="CommentText"/>
              <w:rPr>
                <w:rFonts w:cs="Verdana"/>
                <w:sz w:val="18"/>
                <w:szCs w:val="18"/>
              </w:rPr>
            </w:pPr>
            <w:r w:rsidRPr="00E3461B">
              <w:rPr>
                <w:rFonts w:cs="Verdana"/>
                <w:b/>
                <w:sz w:val="18"/>
                <w:szCs w:val="18"/>
              </w:rPr>
              <w:t>Comment:</w:t>
            </w:r>
            <w:r w:rsidRPr="00E3461B">
              <w:rPr>
                <w:rFonts w:cs="Verdana"/>
                <w:sz w:val="18"/>
                <w:szCs w:val="18"/>
              </w:rPr>
              <w:t xml:space="preserve"> The Mayo Clinic Score is composite within a patient. </w:t>
            </w:r>
          </w:p>
          <w:p w14:paraId="0AB0259C" w14:textId="77777777" w:rsidR="00236AD4" w:rsidRPr="00E3461B" w:rsidRDefault="00236AD4" w:rsidP="00A4724A">
            <w:pPr>
              <w:pStyle w:val="CommentText"/>
              <w:rPr>
                <w:rFonts w:cs="Verdana"/>
                <w:sz w:val="18"/>
                <w:szCs w:val="18"/>
              </w:rPr>
            </w:pPr>
          </w:p>
          <w:p w14:paraId="229F86B9" w14:textId="77777777" w:rsidR="00236AD4" w:rsidRPr="00E3461B" w:rsidRDefault="00236AD4" w:rsidP="00A4724A">
            <w:pPr>
              <w:pStyle w:val="CommentText"/>
              <w:rPr>
                <w:rFonts w:cs="Verdana"/>
                <w:sz w:val="18"/>
                <w:szCs w:val="18"/>
              </w:rPr>
            </w:pPr>
            <w:r w:rsidRPr="00E3461B">
              <w:rPr>
                <w:rFonts w:cs="Verdana"/>
                <w:sz w:val="18"/>
                <w:szCs w:val="18"/>
              </w:rPr>
              <w:t xml:space="preserve">Please clarify whether symptomatic remission and MH is a co-primary endpoint (at population level) or a composite endpoint (within the same patient) and the timing of assessment. </w:t>
            </w:r>
          </w:p>
          <w:p w14:paraId="5D0031C2" w14:textId="77777777" w:rsidR="00236AD4" w:rsidRPr="00E3461B" w:rsidRDefault="00236AD4" w:rsidP="00A4724A">
            <w:pPr>
              <w:pStyle w:val="CommentText"/>
              <w:rPr>
                <w:rFonts w:cs="Verdana"/>
                <w:sz w:val="18"/>
                <w:szCs w:val="18"/>
              </w:rPr>
            </w:pPr>
          </w:p>
          <w:p w14:paraId="6B81D569" w14:textId="77777777" w:rsidR="00236AD4" w:rsidRPr="00E3461B" w:rsidRDefault="00236AD4" w:rsidP="00A4724A">
            <w:pPr>
              <w:pStyle w:val="CommentText"/>
              <w:rPr>
                <w:rFonts w:cs="Verdana"/>
                <w:sz w:val="18"/>
                <w:szCs w:val="18"/>
              </w:rPr>
            </w:pPr>
            <w:r w:rsidRPr="00E3461B">
              <w:rPr>
                <w:rFonts w:cs="Verdana"/>
                <w:sz w:val="18"/>
                <w:szCs w:val="18"/>
              </w:rPr>
              <w:t>Please also clarify whether re-randomization into maintenance is based on a patient achieving either or both symptomatic remission and/or MH.</w:t>
            </w:r>
          </w:p>
          <w:p w14:paraId="6EE51999" w14:textId="77777777" w:rsidR="00236AD4" w:rsidRPr="00E3461B" w:rsidRDefault="00236AD4" w:rsidP="00A4724A">
            <w:pPr>
              <w:pStyle w:val="CommentText"/>
              <w:rPr>
                <w:rFonts w:cs="Verdana"/>
                <w:sz w:val="18"/>
                <w:szCs w:val="18"/>
              </w:rPr>
            </w:pPr>
          </w:p>
          <w:p w14:paraId="6613F78B" w14:textId="77777777" w:rsidR="00236AD4" w:rsidRPr="00E3461B" w:rsidRDefault="00236AD4" w:rsidP="00A4724A">
            <w:pPr>
              <w:pStyle w:val="CommentText"/>
              <w:rPr>
                <w:rFonts w:cs="Verdana"/>
                <w:sz w:val="18"/>
                <w:szCs w:val="18"/>
              </w:rPr>
            </w:pPr>
            <w:r w:rsidRPr="00E3461B">
              <w:rPr>
                <w:rFonts w:cs="Verdana"/>
                <w:sz w:val="18"/>
                <w:szCs w:val="18"/>
              </w:rPr>
              <w:t>Please also clarify if co-primary endpoints may be assessed at different time points.</w:t>
            </w:r>
          </w:p>
          <w:p w14:paraId="270C7E2B" w14:textId="77777777" w:rsidR="00236AD4" w:rsidRPr="007C6F92" w:rsidRDefault="00236AD4" w:rsidP="00A4724A">
            <w:pPr>
              <w:pStyle w:val="TabletextrowsAgency"/>
              <w:spacing w:line="240" w:lineRule="auto"/>
            </w:pPr>
          </w:p>
          <w:p w14:paraId="2550F5F7" w14:textId="77777777" w:rsidR="00236AD4" w:rsidRPr="00E3461B" w:rsidRDefault="00236AD4" w:rsidP="00A4724A">
            <w:pPr>
              <w:pStyle w:val="CommentText"/>
              <w:rPr>
                <w:rFonts w:cs="Verdana"/>
                <w:b/>
                <w:sz w:val="18"/>
                <w:szCs w:val="18"/>
              </w:rPr>
            </w:pPr>
            <w:r w:rsidRPr="00E3461B">
              <w:rPr>
                <w:rFonts w:cs="Verdana"/>
                <w:b/>
                <w:sz w:val="18"/>
                <w:szCs w:val="18"/>
              </w:rPr>
              <w:t xml:space="preserve">Proposed change (if any):   </w:t>
            </w:r>
          </w:p>
          <w:p w14:paraId="2DF8BD01" w14:textId="77777777" w:rsidR="00236AD4" w:rsidRPr="006F1705" w:rsidRDefault="00236AD4" w:rsidP="006F1705">
            <w:pPr>
              <w:pStyle w:val="CommentText"/>
              <w:rPr>
                <w:rFonts w:cs="Verdana"/>
                <w:b/>
                <w:sz w:val="18"/>
                <w:szCs w:val="18"/>
              </w:rPr>
            </w:pPr>
            <w:r w:rsidRPr="00E3461B">
              <w:rPr>
                <w:rFonts w:cs="Verdana"/>
                <w:sz w:val="18"/>
                <w:szCs w:val="18"/>
              </w:rPr>
              <w:t xml:space="preserve"> “As outlined above, symptomatic remission and MH should be considered </w:t>
            </w:r>
            <w:proofErr w:type="gramStart"/>
            <w:r w:rsidRPr="00E3461B">
              <w:rPr>
                <w:rFonts w:cs="Verdana"/>
                <w:b/>
                <w:sz w:val="18"/>
                <w:szCs w:val="18"/>
              </w:rPr>
              <w:t xml:space="preserve">composite </w:t>
            </w:r>
            <w:r w:rsidRPr="00E3461B">
              <w:rPr>
                <w:rFonts w:cs="Verdana"/>
                <w:b/>
                <w:strike/>
                <w:sz w:val="18"/>
                <w:szCs w:val="18"/>
              </w:rPr>
              <w:t xml:space="preserve"> co</w:t>
            </w:r>
            <w:proofErr w:type="gramEnd"/>
            <w:r w:rsidRPr="00E3461B">
              <w:rPr>
                <w:rFonts w:cs="Verdana"/>
                <w:b/>
                <w:strike/>
                <w:sz w:val="18"/>
                <w:szCs w:val="18"/>
              </w:rPr>
              <w:t xml:space="preserve">-primary </w:t>
            </w:r>
            <w:r w:rsidRPr="00E3461B">
              <w:rPr>
                <w:rFonts w:cs="Verdana"/>
                <w:sz w:val="18"/>
                <w:szCs w:val="18"/>
              </w:rPr>
              <w:t>endpoints.”</w:t>
            </w:r>
          </w:p>
        </w:tc>
        <w:tc>
          <w:tcPr>
            <w:tcW w:w="1537" w:type="pct"/>
            <w:shd w:val="clear" w:color="auto" w:fill="E1E3F2"/>
          </w:tcPr>
          <w:p w14:paraId="3A7792A6" w14:textId="77777777" w:rsidR="00236AD4" w:rsidRPr="00B02408" w:rsidRDefault="00236AD4">
            <w:pPr>
              <w:pStyle w:val="TabletextrowsAgency"/>
              <w:rPr>
                <w:b/>
                <w:color w:val="0000FF"/>
              </w:rPr>
            </w:pPr>
          </w:p>
        </w:tc>
      </w:tr>
      <w:tr w:rsidR="00236AD4" w14:paraId="5FFF7768" w14:textId="77777777">
        <w:tc>
          <w:tcPr>
            <w:tcW w:w="645" w:type="pct"/>
            <w:shd w:val="clear" w:color="auto" w:fill="E1E3F2"/>
          </w:tcPr>
          <w:p w14:paraId="2EB5499D" w14:textId="77777777" w:rsidR="00236AD4" w:rsidRDefault="00236AD4" w:rsidP="00A4724A">
            <w:pPr>
              <w:pStyle w:val="TabletextrowsAgency"/>
              <w:spacing w:line="240" w:lineRule="auto"/>
            </w:pPr>
            <w:r>
              <w:t>188</w:t>
            </w:r>
          </w:p>
        </w:tc>
        <w:tc>
          <w:tcPr>
            <w:tcW w:w="812" w:type="pct"/>
            <w:shd w:val="clear" w:color="auto" w:fill="E1E3F2"/>
          </w:tcPr>
          <w:p w14:paraId="7BD5DC94" w14:textId="779EDF63" w:rsidR="00236AD4" w:rsidRPr="004C26BE" w:rsidRDefault="00236AD4" w:rsidP="00A4724A">
            <w:pPr>
              <w:pStyle w:val="TabletextrowsAgency"/>
              <w:spacing w:line="240" w:lineRule="auto"/>
              <w:rPr>
                <w:b/>
              </w:rPr>
            </w:pPr>
          </w:p>
        </w:tc>
        <w:tc>
          <w:tcPr>
            <w:tcW w:w="2006" w:type="pct"/>
            <w:shd w:val="clear" w:color="auto" w:fill="E1E3F2"/>
          </w:tcPr>
          <w:p w14:paraId="567C2415" w14:textId="77777777" w:rsidR="00236AD4" w:rsidRDefault="00236AD4" w:rsidP="00A4724A">
            <w:pPr>
              <w:pStyle w:val="TabletextrowsAgency"/>
              <w:spacing w:line="240" w:lineRule="auto"/>
            </w:pPr>
            <w:r>
              <w:t xml:space="preserve">The Agency’s Draft UC Guidance suggests a “Co-Primary” endpoint approach that considers both symptomatic relief as well as an effect on the inflammatory process rather than the more commonly used Composite indices, such as the Mayo Clinical index.  </w:t>
            </w:r>
          </w:p>
          <w:p w14:paraId="73811F74" w14:textId="77777777" w:rsidR="00236AD4" w:rsidRDefault="00236AD4" w:rsidP="00A4724A">
            <w:pPr>
              <w:pStyle w:val="TabletextrowsAgency"/>
              <w:spacing w:line="240" w:lineRule="auto"/>
            </w:pPr>
          </w:p>
          <w:p w14:paraId="3BA09F93" w14:textId="77777777" w:rsidR="00236AD4" w:rsidRDefault="00236AD4" w:rsidP="00A4724A">
            <w:pPr>
              <w:pStyle w:val="TabletextrowsAgency"/>
              <w:spacing w:line="240" w:lineRule="auto"/>
            </w:pPr>
            <w:r>
              <w:t>“A significant effect on both aspects of the disease is required (co-primary endpoints). Composite indices including both symptoms and MH, such as the Mayo Clinic index have been used in several clinical trials. The use of this index may be justified, however, as previously mentioned; an effect on both the patient related sub-score and the endoscopic score is expected. It has to be stressed that the total Mayo score including physician’s global assessment is not of primary interest.”</w:t>
            </w:r>
          </w:p>
          <w:p w14:paraId="1C169CC0" w14:textId="77777777" w:rsidR="00236AD4" w:rsidRDefault="00236AD4" w:rsidP="00A4724A">
            <w:pPr>
              <w:pStyle w:val="TabletextrowsAgency"/>
              <w:spacing w:line="240" w:lineRule="auto"/>
            </w:pPr>
          </w:p>
          <w:p w14:paraId="2A883D21" w14:textId="77777777" w:rsidR="00236AD4" w:rsidRDefault="00236AD4" w:rsidP="00A4724A">
            <w:pPr>
              <w:pStyle w:val="TabletextrowsAgency"/>
              <w:spacing w:line="240" w:lineRule="auto"/>
            </w:pPr>
            <w:r>
              <w:t>“As outlined above, symptomatic remission and MH should be considered co-primary endpoints. However, as listed below, achieving both symptomatic remission and MH (for the individual patient) is considered an important secondary endpoint. “</w:t>
            </w:r>
          </w:p>
          <w:p w14:paraId="479DEA7D" w14:textId="77777777" w:rsidR="00236AD4" w:rsidRDefault="00236AD4" w:rsidP="00A4724A">
            <w:pPr>
              <w:pStyle w:val="TabletextrowsAgency"/>
              <w:spacing w:line="240" w:lineRule="auto"/>
            </w:pPr>
          </w:p>
          <w:p w14:paraId="10398C8A" w14:textId="77777777" w:rsidR="00236AD4" w:rsidRDefault="00236AD4" w:rsidP="00A4724A">
            <w:pPr>
              <w:pStyle w:val="TabletextrowsAgency"/>
              <w:spacing w:line="240" w:lineRule="auto"/>
            </w:pPr>
            <w:r>
              <w:t xml:space="preserve">In the FDA’s Ulcerative Colitis: Clinical Trial Endpoints Guidance for Industry released Aug 2016, a composite endpoint which includes an assessment of signs and symptoms and endoscopic improvement. </w:t>
            </w:r>
          </w:p>
          <w:p w14:paraId="0AD1366B" w14:textId="77777777" w:rsidR="00236AD4" w:rsidRDefault="00236AD4" w:rsidP="00A4724A">
            <w:pPr>
              <w:pStyle w:val="TabletextrowsAgency"/>
              <w:spacing w:line="240" w:lineRule="auto"/>
            </w:pPr>
          </w:p>
          <w:p w14:paraId="172167C3" w14:textId="77777777" w:rsidR="00236AD4" w:rsidRDefault="00236AD4" w:rsidP="00A4724A">
            <w:pPr>
              <w:pStyle w:val="TabletextrowsAgency"/>
              <w:spacing w:line="240" w:lineRule="auto"/>
            </w:pPr>
            <w:r>
              <w:t>“We currently recommend a primary endpoint of clinical remission (responder definition based on Stool Frequency, Rectal Bleeding, and Endoscopy scores) (see section IV</w:t>
            </w:r>
            <w:proofErr w:type="gramStart"/>
            <w:r>
              <w:t>.,</w:t>
            </w:r>
            <w:proofErr w:type="gramEnd"/>
            <w:r>
              <w:t xml:space="preserve"> Interim Approaches to Efficacy Assessments).  Until a valid patient-reported outcome instrument for UC signs and symptoms and a valid clinician rating scale for mucosal inflammation in UC become available, a modified Mayo or modified UCDAI score omitting the physician’s global or disease activity ratings, as described in section IV, can be used as an endpoint measure.” (FDA UC Guidance, Sect V.A.)</w:t>
            </w:r>
          </w:p>
          <w:p w14:paraId="779662DA" w14:textId="77777777" w:rsidR="00236AD4" w:rsidRDefault="00236AD4" w:rsidP="00A4724A">
            <w:pPr>
              <w:pStyle w:val="TabletextrowsAgency"/>
              <w:spacing w:line="240" w:lineRule="auto"/>
            </w:pPr>
          </w:p>
          <w:p w14:paraId="5F5B3C2E" w14:textId="77777777" w:rsidR="00236AD4" w:rsidRDefault="00236AD4" w:rsidP="00A4724A">
            <w:pPr>
              <w:pStyle w:val="TabletextrowsAgency"/>
              <w:spacing w:line="240" w:lineRule="auto"/>
            </w:pPr>
            <w:r>
              <w:t>It is Lilly’s opinion that the diverging definitions of the primary endpoints could prove to be problematic and a shift to more consistent desired primary endpoint definition between regional guidance would be of benefit to patients, payers, and sponsors.</w:t>
            </w:r>
          </w:p>
        </w:tc>
        <w:tc>
          <w:tcPr>
            <w:tcW w:w="1537" w:type="pct"/>
            <w:shd w:val="clear" w:color="auto" w:fill="E1E3F2"/>
          </w:tcPr>
          <w:p w14:paraId="4A209BA2" w14:textId="77777777" w:rsidR="00236AD4" w:rsidRPr="00B02408" w:rsidRDefault="00236AD4">
            <w:pPr>
              <w:pStyle w:val="TabletextrowsAgency"/>
              <w:rPr>
                <w:b/>
                <w:color w:val="0000FF"/>
              </w:rPr>
            </w:pPr>
          </w:p>
        </w:tc>
      </w:tr>
      <w:tr w:rsidR="00236AD4" w14:paraId="63BD4319" w14:textId="77777777" w:rsidTr="004A0B3B">
        <w:tc>
          <w:tcPr>
            <w:tcW w:w="645" w:type="pct"/>
            <w:shd w:val="clear" w:color="auto" w:fill="DBE5F1" w:themeFill="accent1" w:themeFillTint="33"/>
          </w:tcPr>
          <w:p w14:paraId="6694BDA6" w14:textId="77777777" w:rsidR="00236AD4" w:rsidRDefault="00236AD4" w:rsidP="00A4724A">
            <w:pPr>
              <w:pStyle w:val="TabletextrowsAgency"/>
              <w:spacing w:line="240" w:lineRule="auto"/>
            </w:pPr>
            <w:r>
              <w:t>195</w:t>
            </w:r>
          </w:p>
        </w:tc>
        <w:tc>
          <w:tcPr>
            <w:tcW w:w="812" w:type="pct"/>
            <w:shd w:val="clear" w:color="auto" w:fill="DBE5F1" w:themeFill="accent1" w:themeFillTint="33"/>
          </w:tcPr>
          <w:p w14:paraId="733C8695" w14:textId="24ECD1FA" w:rsidR="00236AD4" w:rsidRPr="004C26BE" w:rsidRDefault="00236AD4" w:rsidP="00A4724A">
            <w:pPr>
              <w:pStyle w:val="TabletextrowsAgency"/>
              <w:spacing w:line="240" w:lineRule="auto"/>
              <w:rPr>
                <w:b/>
                <w:highlight w:val="cyan"/>
              </w:rPr>
            </w:pPr>
          </w:p>
        </w:tc>
        <w:tc>
          <w:tcPr>
            <w:tcW w:w="2006" w:type="pct"/>
            <w:shd w:val="clear" w:color="auto" w:fill="DBE5F1" w:themeFill="accent1" w:themeFillTint="33"/>
          </w:tcPr>
          <w:p w14:paraId="7403F6F0" w14:textId="77777777" w:rsidR="00236AD4" w:rsidRDefault="00236AD4" w:rsidP="00A4724A">
            <w:pPr>
              <w:pStyle w:val="TabletextrowsAgency"/>
              <w:spacing w:line="240" w:lineRule="auto"/>
            </w:pPr>
            <w:r w:rsidRPr="00BF23BE">
              <w:rPr>
                <w:b/>
              </w:rPr>
              <w:t>Comment:</w:t>
            </w:r>
            <w:r>
              <w:t xml:space="preserve"> Clinical response (or endoscopic response) is used as a primary endpoint in most published (and ongoing) clinical trials.  These are clinically relevant endpoints and the numbers required to show these endpoints are feasible for phase 2 and registration programs. </w:t>
            </w:r>
          </w:p>
          <w:p w14:paraId="57255C48" w14:textId="77777777" w:rsidR="00236AD4" w:rsidRDefault="00236AD4" w:rsidP="00A4724A">
            <w:pPr>
              <w:pStyle w:val="TabletextrowsAgency"/>
              <w:spacing w:line="240" w:lineRule="auto"/>
            </w:pPr>
          </w:p>
          <w:p w14:paraId="4F52232D" w14:textId="77777777" w:rsidR="00236AD4" w:rsidRPr="00E31BD7" w:rsidRDefault="00236AD4" w:rsidP="00A4724A">
            <w:pPr>
              <w:pStyle w:val="TabletextrowsAgency"/>
              <w:spacing w:line="240" w:lineRule="auto"/>
              <w:rPr>
                <w:b/>
              </w:rPr>
            </w:pPr>
            <w:r w:rsidRPr="00BF23BE">
              <w:rPr>
                <w:b/>
              </w:rPr>
              <w:t>Proposed change (if any):</w:t>
            </w:r>
            <w:r>
              <w:t xml:space="preserve"> Please consider amending the guidance to recommend the use of clinical response or endoscopic response as a suitable primary endpoint in UC clinical trials. </w:t>
            </w:r>
          </w:p>
        </w:tc>
        <w:tc>
          <w:tcPr>
            <w:tcW w:w="1537" w:type="pct"/>
            <w:shd w:val="clear" w:color="auto" w:fill="DBE5F1" w:themeFill="accent1" w:themeFillTint="33"/>
          </w:tcPr>
          <w:p w14:paraId="1D1C5A34" w14:textId="77777777" w:rsidR="00236AD4" w:rsidRPr="00B02408" w:rsidRDefault="00236AD4">
            <w:pPr>
              <w:pStyle w:val="TabletextrowsAgency"/>
              <w:rPr>
                <w:b/>
                <w:color w:val="0000FF"/>
              </w:rPr>
            </w:pPr>
          </w:p>
        </w:tc>
      </w:tr>
      <w:tr w:rsidR="00236AD4" w14:paraId="7E9E2D77" w14:textId="77777777">
        <w:tc>
          <w:tcPr>
            <w:tcW w:w="645" w:type="pct"/>
            <w:shd w:val="clear" w:color="auto" w:fill="E1E3F2"/>
          </w:tcPr>
          <w:p w14:paraId="6EC3F77C" w14:textId="77777777" w:rsidR="00236AD4" w:rsidRDefault="00236AD4" w:rsidP="00A4724A">
            <w:pPr>
              <w:pStyle w:val="TabletextrowsAgency"/>
              <w:spacing w:line="240" w:lineRule="auto"/>
            </w:pPr>
            <w:r>
              <w:t>195</w:t>
            </w:r>
          </w:p>
        </w:tc>
        <w:tc>
          <w:tcPr>
            <w:tcW w:w="812" w:type="pct"/>
            <w:shd w:val="clear" w:color="auto" w:fill="E1E3F2"/>
          </w:tcPr>
          <w:p w14:paraId="6EFA5557" w14:textId="2C4024C9" w:rsidR="00236AD4" w:rsidRPr="004C26BE" w:rsidRDefault="00236AD4" w:rsidP="00A4724A">
            <w:pPr>
              <w:pStyle w:val="TabletextrowsAgency"/>
              <w:spacing w:line="240" w:lineRule="auto"/>
              <w:rPr>
                <w:b/>
                <w:highlight w:val="cyan"/>
              </w:rPr>
            </w:pPr>
          </w:p>
        </w:tc>
        <w:tc>
          <w:tcPr>
            <w:tcW w:w="2006" w:type="pct"/>
            <w:shd w:val="clear" w:color="auto" w:fill="E1E3F2"/>
          </w:tcPr>
          <w:p w14:paraId="14A8F035" w14:textId="77777777" w:rsidR="00236AD4" w:rsidRDefault="00236AD4" w:rsidP="00A4724A">
            <w:pPr>
              <w:pStyle w:val="TabletextrowsAgency"/>
              <w:spacing w:line="240" w:lineRule="auto"/>
            </w:pPr>
            <w:r w:rsidRPr="00BF23BE">
              <w:rPr>
                <w:b/>
              </w:rPr>
              <w:t>Comment:</w:t>
            </w:r>
            <w:r>
              <w:t xml:space="preserve"> Please consider specifying the change in the individual components of a disease activity index that would be appropriate to meet a definition of clinical response or clinical remission.  This is included in the FDA draft guidance and was discussed at the FDA’s clinical endpoints conference and the GREAT3 conference.</w:t>
            </w:r>
          </w:p>
          <w:p w14:paraId="3013CFA3" w14:textId="77777777" w:rsidR="00236AD4" w:rsidRDefault="00236AD4" w:rsidP="00A4724A">
            <w:pPr>
              <w:pStyle w:val="TabletextrowsAgency"/>
              <w:spacing w:line="240" w:lineRule="auto"/>
            </w:pPr>
          </w:p>
          <w:p w14:paraId="03116467" w14:textId="77777777" w:rsidR="00236AD4" w:rsidRDefault="00236AD4" w:rsidP="00A4724A">
            <w:pPr>
              <w:pStyle w:val="TabletextrowsAgency"/>
              <w:spacing w:line="240" w:lineRule="auto"/>
            </w:pPr>
            <w:r w:rsidRPr="00BF23BE">
              <w:rPr>
                <w:b/>
              </w:rPr>
              <w:t>Proposed change (if any):</w:t>
            </w:r>
            <w:r>
              <w:t xml:space="preserve"> Please specify examples of the changes in disease activity index scores required to achieve clinical response or clinical remission, to provide consistency with FDA guidance. </w:t>
            </w:r>
          </w:p>
        </w:tc>
        <w:tc>
          <w:tcPr>
            <w:tcW w:w="1537" w:type="pct"/>
            <w:shd w:val="clear" w:color="auto" w:fill="E1E3F2"/>
          </w:tcPr>
          <w:p w14:paraId="4D458222" w14:textId="77777777" w:rsidR="00236AD4" w:rsidRDefault="00236AD4">
            <w:pPr>
              <w:pStyle w:val="TabletextrowsAgency"/>
            </w:pPr>
          </w:p>
        </w:tc>
      </w:tr>
      <w:tr w:rsidR="00236AD4" w14:paraId="24C65D5A" w14:textId="77777777">
        <w:tc>
          <w:tcPr>
            <w:tcW w:w="645" w:type="pct"/>
            <w:shd w:val="clear" w:color="auto" w:fill="E1E3F2"/>
          </w:tcPr>
          <w:p w14:paraId="15431A48" w14:textId="77777777" w:rsidR="00236AD4" w:rsidRDefault="00236AD4" w:rsidP="00A4724A">
            <w:pPr>
              <w:pStyle w:val="TabletextrowsAgency"/>
              <w:spacing w:line="240" w:lineRule="auto"/>
            </w:pPr>
            <w:r>
              <w:t xml:space="preserve">197-200 </w:t>
            </w:r>
          </w:p>
        </w:tc>
        <w:tc>
          <w:tcPr>
            <w:tcW w:w="812" w:type="pct"/>
            <w:shd w:val="clear" w:color="auto" w:fill="E1E3F2"/>
          </w:tcPr>
          <w:p w14:paraId="4A53ECEF" w14:textId="33CFF901" w:rsidR="00236AD4" w:rsidRPr="00867830" w:rsidRDefault="00236AD4" w:rsidP="00A4724A">
            <w:pPr>
              <w:pStyle w:val="TabletextrowsAgency"/>
              <w:spacing w:line="240" w:lineRule="auto"/>
              <w:rPr>
                <w:b/>
              </w:rPr>
            </w:pPr>
          </w:p>
        </w:tc>
        <w:tc>
          <w:tcPr>
            <w:tcW w:w="2006" w:type="pct"/>
            <w:shd w:val="clear" w:color="auto" w:fill="E1E3F2"/>
          </w:tcPr>
          <w:p w14:paraId="10B5702F" w14:textId="77777777" w:rsidR="00236AD4" w:rsidRDefault="00236AD4" w:rsidP="00A4724A">
            <w:pPr>
              <w:pStyle w:val="TabletextrowsAgency"/>
              <w:spacing w:line="240" w:lineRule="auto"/>
            </w:pPr>
            <w:r w:rsidRPr="00BE4945">
              <w:rPr>
                <w:b/>
              </w:rPr>
              <w:t>Comment</w:t>
            </w:r>
            <w:r>
              <w:t xml:space="preserve">: </w:t>
            </w:r>
            <w:r w:rsidRPr="003476DF">
              <w:t>The revised guideline clearly indicates that “remission” of signs and symptoms is the preferred way of scoring the PRO used to support a co-primary endpoint. This method provides evidence at an individual level (i.e. proportion of responders). However, group level changes (e.g. mean change from baseline) in the PRO will be additional useful information to understand the overall efficacy of an experimental treatment, providing additional data through use of a continuous variable beyond that which can be understood through the creation of a binary outcome. As such, we would like to encourage the Agency to include group-level responses as key supportive/secondary endpoints</w:t>
            </w:r>
            <w:r>
              <w:t>, (unless already covered under the line 200 “numerical evaluation of the symptoms score”=</w:t>
            </w:r>
          </w:p>
          <w:p w14:paraId="1B9D6902" w14:textId="77777777" w:rsidR="00236AD4" w:rsidRDefault="00236AD4" w:rsidP="00A4724A">
            <w:pPr>
              <w:pStyle w:val="TabletextrowsAgency"/>
              <w:spacing w:line="240" w:lineRule="auto"/>
            </w:pPr>
          </w:p>
          <w:p w14:paraId="00D23278" w14:textId="77777777" w:rsidR="00236AD4" w:rsidRPr="007F0A06" w:rsidRDefault="00236AD4" w:rsidP="00A4724A">
            <w:pPr>
              <w:pStyle w:val="TabletextrowsAgency"/>
              <w:spacing w:line="240" w:lineRule="auto"/>
              <w:rPr>
                <w:sz w:val="14"/>
              </w:rPr>
            </w:pPr>
            <w:r w:rsidRPr="00BE4945">
              <w:rPr>
                <w:b/>
              </w:rPr>
              <w:t>Proposed change (if any):</w:t>
            </w:r>
            <w:r w:rsidRPr="00BE4945">
              <w:t xml:space="preserve"> Please</w:t>
            </w:r>
            <w:r>
              <w:t xml:space="preserve"> indicate whether the endpoints can be  analysed as change from baseline </w:t>
            </w:r>
          </w:p>
        </w:tc>
        <w:tc>
          <w:tcPr>
            <w:tcW w:w="1537" w:type="pct"/>
            <w:shd w:val="clear" w:color="auto" w:fill="E1E3F2"/>
          </w:tcPr>
          <w:p w14:paraId="1AE6D6AD" w14:textId="77777777" w:rsidR="00236AD4" w:rsidRPr="00B02408" w:rsidRDefault="00236AD4">
            <w:pPr>
              <w:pStyle w:val="TabletextrowsAgency"/>
              <w:rPr>
                <w:b/>
                <w:color w:val="0000FF"/>
              </w:rPr>
            </w:pPr>
          </w:p>
        </w:tc>
      </w:tr>
      <w:tr w:rsidR="00236AD4" w14:paraId="5ACCC441" w14:textId="77777777">
        <w:tc>
          <w:tcPr>
            <w:tcW w:w="645" w:type="pct"/>
            <w:shd w:val="clear" w:color="auto" w:fill="E1E3F2"/>
          </w:tcPr>
          <w:p w14:paraId="68F81501" w14:textId="77777777" w:rsidR="00236AD4" w:rsidRDefault="00236AD4" w:rsidP="00A4724A">
            <w:pPr>
              <w:pStyle w:val="TabletextrowsAgency"/>
              <w:spacing w:line="240" w:lineRule="auto"/>
            </w:pPr>
            <w:r>
              <w:t>201</w:t>
            </w:r>
          </w:p>
        </w:tc>
        <w:tc>
          <w:tcPr>
            <w:tcW w:w="812" w:type="pct"/>
            <w:shd w:val="clear" w:color="auto" w:fill="E1E3F2"/>
          </w:tcPr>
          <w:p w14:paraId="104ABE9D" w14:textId="4C9067DD" w:rsidR="00236AD4" w:rsidRDefault="00236AD4" w:rsidP="00A4724A">
            <w:pPr>
              <w:pStyle w:val="TabletextrowsAgency"/>
              <w:spacing w:line="240" w:lineRule="auto"/>
            </w:pPr>
          </w:p>
        </w:tc>
        <w:tc>
          <w:tcPr>
            <w:tcW w:w="2006" w:type="pct"/>
            <w:shd w:val="clear" w:color="auto" w:fill="E1E3F2"/>
          </w:tcPr>
          <w:p w14:paraId="1E7F56C4" w14:textId="77777777" w:rsidR="00236AD4" w:rsidRDefault="00236AD4" w:rsidP="00A4724A">
            <w:pPr>
              <w:pStyle w:val="TabletextrowsAgency"/>
              <w:spacing w:line="240" w:lineRule="auto"/>
            </w:pPr>
            <w:r>
              <w:t>Please clarify what scales are appropriate for histological evaluation and at what time point these evaluations are expected</w:t>
            </w:r>
          </w:p>
        </w:tc>
        <w:tc>
          <w:tcPr>
            <w:tcW w:w="1537" w:type="pct"/>
            <w:shd w:val="clear" w:color="auto" w:fill="E1E3F2"/>
          </w:tcPr>
          <w:p w14:paraId="16306CDB" w14:textId="77777777" w:rsidR="00236AD4" w:rsidRPr="00B02408" w:rsidRDefault="00236AD4">
            <w:pPr>
              <w:pStyle w:val="TabletextrowsAgency"/>
              <w:rPr>
                <w:b/>
                <w:color w:val="0000FF"/>
              </w:rPr>
            </w:pPr>
          </w:p>
        </w:tc>
      </w:tr>
      <w:tr w:rsidR="00236AD4" w14:paraId="70F88350" w14:textId="77777777">
        <w:tc>
          <w:tcPr>
            <w:tcW w:w="645" w:type="pct"/>
            <w:shd w:val="clear" w:color="auto" w:fill="E1E3F2"/>
          </w:tcPr>
          <w:p w14:paraId="7C91E261" w14:textId="77777777" w:rsidR="00236AD4" w:rsidRDefault="00236AD4" w:rsidP="00A4724A">
            <w:pPr>
              <w:pStyle w:val="TabletextrowsAgency"/>
              <w:spacing w:line="240" w:lineRule="auto"/>
            </w:pPr>
            <w:r>
              <w:t>201-201</w:t>
            </w:r>
          </w:p>
        </w:tc>
        <w:tc>
          <w:tcPr>
            <w:tcW w:w="812" w:type="pct"/>
            <w:shd w:val="clear" w:color="auto" w:fill="E1E3F2"/>
          </w:tcPr>
          <w:p w14:paraId="03A68B3E" w14:textId="5AED7495" w:rsidR="00236AD4" w:rsidRDefault="00236AD4" w:rsidP="00A4724A">
            <w:pPr>
              <w:pStyle w:val="TabletextrowsAgency"/>
              <w:spacing w:line="240" w:lineRule="auto"/>
            </w:pPr>
          </w:p>
        </w:tc>
        <w:tc>
          <w:tcPr>
            <w:tcW w:w="2006" w:type="pct"/>
            <w:shd w:val="clear" w:color="auto" w:fill="E1E3F2"/>
          </w:tcPr>
          <w:p w14:paraId="2738817F" w14:textId="77777777" w:rsidR="00236AD4" w:rsidRDefault="00236AD4" w:rsidP="00A4724A">
            <w:pPr>
              <w:pStyle w:val="TabletextrowsAgency"/>
              <w:spacing w:line="240" w:lineRule="auto"/>
            </w:pPr>
            <w:r w:rsidRPr="002A6DC3">
              <w:rPr>
                <w:b/>
              </w:rPr>
              <w:t>Comment:</w:t>
            </w:r>
            <w:r>
              <w:t xml:space="preserve"> We consider that histological improvement would be an additional valuable secondary endpoint.</w:t>
            </w:r>
          </w:p>
        </w:tc>
        <w:tc>
          <w:tcPr>
            <w:tcW w:w="1537" w:type="pct"/>
            <w:shd w:val="clear" w:color="auto" w:fill="E1E3F2"/>
          </w:tcPr>
          <w:p w14:paraId="3DCCB2EA" w14:textId="77777777" w:rsidR="00236AD4" w:rsidRPr="00B02408" w:rsidRDefault="00236AD4">
            <w:pPr>
              <w:pStyle w:val="TabletextrowsAgency"/>
              <w:rPr>
                <w:b/>
                <w:color w:val="0000FF"/>
              </w:rPr>
            </w:pPr>
          </w:p>
        </w:tc>
      </w:tr>
      <w:tr w:rsidR="00236AD4" w14:paraId="656F4A33" w14:textId="77777777">
        <w:tc>
          <w:tcPr>
            <w:tcW w:w="645" w:type="pct"/>
            <w:shd w:val="clear" w:color="auto" w:fill="E1E3F2"/>
          </w:tcPr>
          <w:p w14:paraId="08D278C5" w14:textId="77777777" w:rsidR="00236AD4" w:rsidRDefault="00236AD4" w:rsidP="00310DA1">
            <w:pPr>
              <w:pStyle w:val="TabletextrowsAgency"/>
              <w:spacing w:line="240" w:lineRule="auto"/>
            </w:pPr>
            <w:r>
              <w:t>201-204</w:t>
            </w:r>
          </w:p>
        </w:tc>
        <w:tc>
          <w:tcPr>
            <w:tcW w:w="812" w:type="pct"/>
            <w:shd w:val="clear" w:color="auto" w:fill="E1E3F2"/>
          </w:tcPr>
          <w:p w14:paraId="0D6FD5D7" w14:textId="629E562A" w:rsidR="00236AD4" w:rsidRPr="00310DA1" w:rsidRDefault="00236AD4" w:rsidP="00310DA1">
            <w:pPr>
              <w:pStyle w:val="TabletextrowsAgency"/>
              <w:spacing w:line="240" w:lineRule="auto"/>
              <w:rPr>
                <w:b/>
              </w:rPr>
            </w:pPr>
          </w:p>
        </w:tc>
        <w:tc>
          <w:tcPr>
            <w:tcW w:w="2006" w:type="pct"/>
            <w:shd w:val="clear" w:color="auto" w:fill="E1E3F2"/>
          </w:tcPr>
          <w:p w14:paraId="166B5C65" w14:textId="77777777" w:rsidR="00236AD4" w:rsidRDefault="00236AD4" w:rsidP="00310DA1">
            <w:pPr>
              <w:pStyle w:val="TabletextrowsAgency"/>
              <w:spacing w:line="240" w:lineRule="auto"/>
            </w:pPr>
            <w:r w:rsidRPr="00BF23BE">
              <w:rPr>
                <w:b/>
                <w:bCs/>
              </w:rPr>
              <w:t>Comment:</w:t>
            </w:r>
            <w:r>
              <w:t xml:space="preserve"> We acknowledge that biopsies for histologic disease activity would be collected at screening and post-treatment to assess for subsequent histological healing. However, there is no standardized histologic scoring system, nor is there one that has been validated (</w:t>
            </w:r>
            <w:proofErr w:type="spellStart"/>
            <w:r>
              <w:t>Peyrin-Biroulet</w:t>
            </w:r>
            <w:proofErr w:type="spellEnd"/>
            <w:r>
              <w:t>, L et al. American Journal of Gastroenterology (2015)110: 1324-1338).</w:t>
            </w:r>
          </w:p>
          <w:p w14:paraId="2FC44684" w14:textId="77777777" w:rsidR="00236AD4" w:rsidRDefault="00236AD4" w:rsidP="00310DA1">
            <w:pPr>
              <w:pStyle w:val="TabletextrowsAgency"/>
              <w:spacing w:line="240" w:lineRule="auto"/>
            </w:pPr>
          </w:p>
          <w:p w14:paraId="17D1F5CB" w14:textId="77777777" w:rsidR="00236AD4" w:rsidRDefault="00236AD4" w:rsidP="00310DA1">
            <w:pPr>
              <w:pStyle w:val="TabletextrowsAgency"/>
              <w:spacing w:line="240" w:lineRule="auto"/>
            </w:pPr>
            <w:r w:rsidRPr="00BF23BE">
              <w:rPr>
                <w:b/>
              </w:rPr>
              <w:t>Proposed change (if any):</w:t>
            </w:r>
            <w:r>
              <w:t xml:space="preserve"> Evaluation of histological improvement should be included as an exploratory endpoint to assess UC activity and treatment efficacy.</w:t>
            </w:r>
          </w:p>
        </w:tc>
        <w:tc>
          <w:tcPr>
            <w:tcW w:w="1537" w:type="pct"/>
            <w:shd w:val="clear" w:color="auto" w:fill="E1E3F2"/>
          </w:tcPr>
          <w:p w14:paraId="6CCF3D4B" w14:textId="77777777" w:rsidR="00236AD4" w:rsidRPr="00B02408" w:rsidRDefault="00236AD4">
            <w:pPr>
              <w:pStyle w:val="TabletextrowsAgency"/>
              <w:rPr>
                <w:b/>
                <w:color w:val="0000FF"/>
              </w:rPr>
            </w:pPr>
          </w:p>
        </w:tc>
      </w:tr>
      <w:tr w:rsidR="00236AD4" w14:paraId="68F7954F" w14:textId="77777777">
        <w:tc>
          <w:tcPr>
            <w:tcW w:w="645" w:type="pct"/>
            <w:shd w:val="clear" w:color="auto" w:fill="E1E3F2"/>
          </w:tcPr>
          <w:p w14:paraId="797E6C5A" w14:textId="77777777" w:rsidR="00236AD4" w:rsidRDefault="00236AD4" w:rsidP="00A4724A">
            <w:pPr>
              <w:pStyle w:val="TabletextrowsAgency"/>
              <w:spacing w:line="240" w:lineRule="auto"/>
            </w:pPr>
            <w:r>
              <w:t>203</w:t>
            </w:r>
          </w:p>
        </w:tc>
        <w:tc>
          <w:tcPr>
            <w:tcW w:w="812" w:type="pct"/>
            <w:shd w:val="clear" w:color="auto" w:fill="E1E3F2"/>
          </w:tcPr>
          <w:p w14:paraId="020FB322" w14:textId="46162A78" w:rsidR="00236AD4" w:rsidRPr="004C26BE" w:rsidRDefault="00236AD4" w:rsidP="00A4724A">
            <w:pPr>
              <w:pStyle w:val="TabletextrowsAgency"/>
              <w:spacing w:line="240" w:lineRule="auto"/>
              <w:rPr>
                <w:b/>
              </w:rPr>
            </w:pPr>
          </w:p>
        </w:tc>
        <w:tc>
          <w:tcPr>
            <w:tcW w:w="2006" w:type="pct"/>
            <w:shd w:val="clear" w:color="auto" w:fill="E1E3F2"/>
          </w:tcPr>
          <w:p w14:paraId="2F57CB56" w14:textId="77777777" w:rsidR="00236AD4" w:rsidRDefault="00236AD4" w:rsidP="00A4724A">
            <w:pPr>
              <w:pStyle w:val="TabletextrowsAgency"/>
              <w:spacing w:line="240" w:lineRule="auto"/>
            </w:pPr>
            <w:r w:rsidRPr="00BF23BE">
              <w:rPr>
                <w:b/>
              </w:rPr>
              <w:t>Comment:</w:t>
            </w:r>
            <w:r>
              <w:t xml:space="preserve"> Elevated C reactive protein (CRP) is not a common feature of UC, in contrast to </w:t>
            </w:r>
            <w:proofErr w:type="spellStart"/>
            <w:r>
              <w:t>Crohn’s</w:t>
            </w:r>
            <w:proofErr w:type="spellEnd"/>
            <w:r>
              <w:t xml:space="preserve"> disease.  This is not a tractable secondary endpoint. </w:t>
            </w:r>
          </w:p>
          <w:p w14:paraId="56206D9F" w14:textId="77777777" w:rsidR="00236AD4" w:rsidRDefault="00236AD4" w:rsidP="00A4724A">
            <w:pPr>
              <w:pStyle w:val="TabletextrowsAgency"/>
              <w:spacing w:line="240" w:lineRule="auto"/>
            </w:pPr>
          </w:p>
          <w:p w14:paraId="351A5344" w14:textId="77777777" w:rsidR="00236AD4" w:rsidRDefault="00236AD4" w:rsidP="00A4724A">
            <w:pPr>
              <w:pStyle w:val="TabletextrowsAgency"/>
              <w:spacing w:line="240" w:lineRule="auto"/>
            </w:pPr>
            <w:r w:rsidRPr="00BF23BE">
              <w:rPr>
                <w:b/>
              </w:rPr>
              <w:t>Proposed change (if any):</w:t>
            </w:r>
            <w:r>
              <w:t xml:space="preserve">  Consider removing.</w:t>
            </w:r>
          </w:p>
        </w:tc>
        <w:tc>
          <w:tcPr>
            <w:tcW w:w="1537" w:type="pct"/>
            <w:shd w:val="clear" w:color="auto" w:fill="E1E3F2"/>
          </w:tcPr>
          <w:p w14:paraId="4DF91DC3" w14:textId="77777777" w:rsidR="00236AD4" w:rsidRPr="00B02408" w:rsidRDefault="00236AD4">
            <w:pPr>
              <w:pStyle w:val="TabletextrowsAgency"/>
              <w:rPr>
                <w:b/>
                <w:color w:val="0000FF"/>
              </w:rPr>
            </w:pPr>
          </w:p>
        </w:tc>
      </w:tr>
      <w:tr w:rsidR="00236AD4" w14:paraId="429D7E59" w14:textId="77777777">
        <w:tc>
          <w:tcPr>
            <w:tcW w:w="645" w:type="pct"/>
            <w:shd w:val="clear" w:color="auto" w:fill="E1E3F2"/>
          </w:tcPr>
          <w:p w14:paraId="7D27DEDF" w14:textId="77777777" w:rsidR="00236AD4" w:rsidRDefault="00236AD4" w:rsidP="00A4724A">
            <w:pPr>
              <w:pStyle w:val="TabletextrowsAgency"/>
              <w:spacing w:line="240" w:lineRule="auto"/>
            </w:pPr>
            <w:r>
              <w:t>203-204</w:t>
            </w:r>
          </w:p>
        </w:tc>
        <w:tc>
          <w:tcPr>
            <w:tcW w:w="812" w:type="pct"/>
            <w:shd w:val="clear" w:color="auto" w:fill="E1E3F2"/>
          </w:tcPr>
          <w:p w14:paraId="7D9E15C8" w14:textId="5B6820DF" w:rsidR="00236AD4" w:rsidRDefault="00236AD4" w:rsidP="00A4724A">
            <w:pPr>
              <w:pStyle w:val="TabletextrowsAgency"/>
              <w:spacing w:line="240" w:lineRule="auto"/>
            </w:pPr>
          </w:p>
        </w:tc>
        <w:tc>
          <w:tcPr>
            <w:tcW w:w="2006" w:type="pct"/>
            <w:shd w:val="clear" w:color="auto" w:fill="E1E3F2"/>
          </w:tcPr>
          <w:p w14:paraId="34B694C4" w14:textId="77777777" w:rsidR="00236AD4" w:rsidRDefault="00236AD4" w:rsidP="00A4724A">
            <w:pPr>
              <w:pStyle w:val="TabletextrowsAgency"/>
              <w:spacing w:line="240" w:lineRule="auto"/>
            </w:pPr>
            <w:r w:rsidRPr="002A6DC3">
              <w:rPr>
                <w:b/>
              </w:rPr>
              <w:t>Comment:</w:t>
            </w:r>
            <w:r>
              <w:t xml:space="preserve">  Please clarify if reference is made to faecal </w:t>
            </w:r>
            <w:proofErr w:type="spellStart"/>
            <w:r>
              <w:t>calprotectin</w:t>
            </w:r>
            <w:proofErr w:type="spellEnd"/>
            <w:r>
              <w:t xml:space="preserve"> and not serum </w:t>
            </w:r>
            <w:proofErr w:type="spellStart"/>
            <w:r>
              <w:t>calprotectin</w:t>
            </w:r>
            <w:proofErr w:type="spellEnd"/>
            <w:r>
              <w:t xml:space="preserve">?  </w:t>
            </w:r>
            <w:r w:rsidRPr="004D1F47">
              <w:t xml:space="preserve">If serological, we recommend this being an exploratory endpoint and not included within the composite endpoint, as there is </w:t>
            </w:r>
            <w:r>
              <w:t xml:space="preserve">limited data on this. </w:t>
            </w:r>
          </w:p>
          <w:p w14:paraId="5B75E776" w14:textId="77777777" w:rsidR="00236AD4" w:rsidRDefault="00236AD4" w:rsidP="00A4724A">
            <w:pPr>
              <w:pStyle w:val="TabletextrowsAgency"/>
              <w:spacing w:line="240" w:lineRule="auto"/>
            </w:pPr>
          </w:p>
          <w:p w14:paraId="553D85EA" w14:textId="77777777" w:rsidR="00236AD4" w:rsidRDefault="00236AD4" w:rsidP="00A4724A">
            <w:pPr>
              <w:pStyle w:val="TabletextrowsAgency"/>
              <w:spacing w:line="240" w:lineRule="auto"/>
            </w:pPr>
            <w:r w:rsidRPr="00984C12">
              <w:t xml:space="preserve">Please clarify what is meant by normalisation </w:t>
            </w:r>
            <w:r>
              <w:t>of CRP, as many patients do not have elevated CRP levels.</w:t>
            </w:r>
          </w:p>
          <w:p w14:paraId="34473900" w14:textId="77777777" w:rsidR="00236AD4" w:rsidRPr="00984C12" w:rsidRDefault="00236AD4" w:rsidP="00A4724A">
            <w:pPr>
              <w:pStyle w:val="TabletextrowsAgency"/>
              <w:spacing w:line="240" w:lineRule="auto"/>
            </w:pPr>
          </w:p>
          <w:p w14:paraId="2B628A6B" w14:textId="77777777" w:rsidR="00236AD4" w:rsidRPr="00F04D82" w:rsidRDefault="00236AD4" w:rsidP="00A4724A">
            <w:pPr>
              <w:pStyle w:val="TabletextrowsAgency"/>
              <w:spacing w:line="240" w:lineRule="auto"/>
              <w:rPr>
                <w:b/>
              </w:rPr>
            </w:pPr>
            <w:r>
              <w:t>Please clarify what label claim this endpoint supports.</w:t>
            </w:r>
          </w:p>
          <w:p w14:paraId="7E650767" w14:textId="77777777" w:rsidR="00236AD4" w:rsidRDefault="00236AD4" w:rsidP="00A4724A">
            <w:pPr>
              <w:pStyle w:val="TabletextrowsAgency"/>
              <w:spacing w:line="240" w:lineRule="auto"/>
            </w:pPr>
          </w:p>
          <w:p w14:paraId="04DA0723" w14:textId="77777777" w:rsidR="00236AD4" w:rsidRPr="00C224A8" w:rsidRDefault="00236AD4" w:rsidP="00A4724A">
            <w:pPr>
              <w:pStyle w:val="TabletextrowsAgency"/>
              <w:spacing w:line="240" w:lineRule="auto"/>
            </w:pPr>
            <w:r w:rsidRPr="00BF23BE">
              <w:rPr>
                <w:b/>
              </w:rPr>
              <w:t>Proposed change (if any):</w:t>
            </w:r>
            <w:r w:rsidRPr="00C224A8">
              <w:t xml:space="preserve"> “Patients achieving MH, judged </w:t>
            </w:r>
            <w:proofErr w:type="spellStart"/>
            <w:r w:rsidRPr="00C224A8">
              <w:t>endoscopically</w:t>
            </w:r>
            <w:proofErr w:type="spellEnd"/>
            <w:r w:rsidRPr="00C224A8">
              <w:t xml:space="preserve">, as well as combined clinical, </w:t>
            </w:r>
          </w:p>
          <w:p w14:paraId="3B5081FD" w14:textId="77777777" w:rsidR="00236AD4" w:rsidRDefault="00236AD4" w:rsidP="00A4724A">
            <w:pPr>
              <w:pStyle w:val="TabletextrowsAgency"/>
              <w:spacing w:line="240" w:lineRule="auto"/>
            </w:pPr>
            <w:proofErr w:type="gramStart"/>
            <w:r w:rsidRPr="00C224A8">
              <w:rPr>
                <w:b/>
              </w:rPr>
              <w:t>other</w:t>
            </w:r>
            <w:proofErr w:type="gramEnd"/>
            <w:r w:rsidRPr="00C224A8">
              <w:rPr>
                <w:b/>
              </w:rPr>
              <w:t xml:space="preserve"> biomarkers for</w:t>
            </w:r>
            <w:r w:rsidRPr="00C224A8">
              <w:t xml:space="preserve"> </w:t>
            </w:r>
            <w:r w:rsidRPr="00C224A8">
              <w:rPr>
                <w:b/>
              </w:rPr>
              <w:t>inflammation</w:t>
            </w:r>
            <w:r w:rsidRPr="00C224A8">
              <w:rPr>
                <w:b/>
                <w:strike/>
              </w:rPr>
              <w:t xml:space="preserve"> serological</w:t>
            </w:r>
            <w:r w:rsidRPr="00C224A8">
              <w:t xml:space="preserve"> (</w:t>
            </w:r>
            <w:proofErr w:type="spellStart"/>
            <w:r w:rsidRPr="00C224A8">
              <w:t>eg</w:t>
            </w:r>
            <w:proofErr w:type="spellEnd"/>
            <w:r w:rsidRPr="00C224A8">
              <w:t xml:space="preserve">,   </w:t>
            </w:r>
            <w:r w:rsidRPr="00C224A8">
              <w:rPr>
                <w:strike/>
              </w:rPr>
              <w:t>=</w:t>
            </w:r>
            <w:r w:rsidRPr="00C224A8">
              <w:rPr>
                <w:b/>
                <w:strike/>
              </w:rPr>
              <w:t>normalisation of</w:t>
            </w:r>
            <w:r w:rsidRPr="00C224A8">
              <w:rPr>
                <w:strike/>
              </w:rPr>
              <w:t xml:space="preserve"> </w:t>
            </w:r>
            <w:r w:rsidRPr="00C224A8">
              <w:rPr>
                <w:b/>
                <w:strike/>
              </w:rPr>
              <w:t>normal</w:t>
            </w:r>
            <w:r w:rsidRPr="00C224A8">
              <w:rPr>
                <w:strike/>
              </w:rPr>
              <w:t xml:space="preserve"> </w:t>
            </w:r>
            <w:r w:rsidRPr="00C224A8">
              <w:t xml:space="preserve">CRP and/or </w:t>
            </w:r>
            <w:r w:rsidRPr="00C224A8">
              <w:rPr>
                <w:b/>
              </w:rPr>
              <w:t>faecal</w:t>
            </w:r>
            <w:r w:rsidRPr="00C224A8">
              <w:t xml:space="preserve"> </w:t>
            </w:r>
            <w:proofErr w:type="spellStart"/>
            <w:r w:rsidRPr="00C224A8">
              <w:t>calprotectin</w:t>
            </w:r>
            <w:proofErr w:type="spellEnd"/>
            <w:r w:rsidRPr="00C224A8">
              <w:t>)</w:t>
            </w:r>
            <w:r>
              <w:t xml:space="preserve"> and histological remission”.</w:t>
            </w:r>
          </w:p>
        </w:tc>
        <w:tc>
          <w:tcPr>
            <w:tcW w:w="1537" w:type="pct"/>
            <w:shd w:val="clear" w:color="auto" w:fill="E1E3F2"/>
          </w:tcPr>
          <w:p w14:paraId="1A978A33" w14:textId="77777777" w:rsidR="00236AD4" w:rsidRPr="00B02408" w:rsidRDefault="00236AD4">
            <w:pPr>
              <w:pStyle w:val="TabletextrowsAgency"/>
              <w:rPr>
                <w:b/>
                <w:color w:val="0000FF"/>
              </w:rPr>
            </w:pPr>
          </w:p>
        </w:tc>
      </w:tr>
      <w:tr w:rsidR="00236AD4" w14:paraId="1B274C70" w14:textId="77777777">
        <w:tc>
          <w:tcPr>
            <w:tcW w:w="645" w:type="pct"/>
            <w:shd w:val="clear" w:color="auto" w:fill="E1E3F2"/>
          </w:tcPr>
          <w:p w14:paraId="2F050289" w14:textId="77777777" w:rsidR="00236AD4" w:rsidRDefault="00236AD4" w:rsidP="00A4724A">
            <w:pPr>
              <w:pStyle w:val="TabletextrowsAgency"/>
              <w:spacing w:line="240" w:lineRule="auto"/>
            </w:pPr>
            <w:r>
              <w:t xml:space="preserve">208 </w:t>
            </w:r>
          </w:p>
        </w:tc>
        <w:tc>
          <w:tcPr>
            <w:tcW w:w="812" w:type="pct"/>
            <w:shd w:val="clear" w:color="auto" w:fill="E1E3F2"/>
          </w:tcPr>
          <w:p w14:paraId="6E3F1251" w14:textId="44C1FEB3" w:rsidR="00236AD4" w:rsidRPr="004C26BE" w:rsidRDefault="00236AD4" w:rsidP="00A4724A">
            <w:pPr>
              <w:pStyle w:val="TabletextrowsAgency"/>
              <w:spacing w:line="240" w:lineRule="auto"/>
              <w:rPr>
                <w:b/>
              </w:rPr>
            </w:pPr>
          </w:p>
        </w:tc>
        <w:tc>
          <w:tcPr>
            <w:tcW w:w="2006" w:type="pct"/>
            <w:shd w:val="clear" w:color="auto" w:fill="E1E3F2"/>
          </w:tcPr>
          <w:p w14:paraId="04AE9162" w14:textId="77777777" w:rsidR="00236AD4" w:rsidRDefault="00236AD4" w:rsidP="00A4724A">
            <w:pPr>
              <w:pStyle w:val="TabletextrowsAgency"/>
              <w:spacing w:line="240" w:lineRule="auto"/>
            </w:pPr>
            <w:r w:rsidRPr="00BE4945">
              <w:rPr>
                <w:b/>
              </w:rPr>
              <w:t>Comment</w:t>
            </w:r>
            <w:r>
              <w:t xml:space="preserve">: </w:t>
            </w:r>
            <w:r w:rsidRPr="003476DF">
              <w:t>The revised guidance proposes the use of a validated quality of life (</w:t>
            </w:r>
            <w:proofErr w:type="spellStart"/>
            <w:r w:rsidRPr="003476DF">
              <w:t>QoL</w:t>
            </w:r>
            <w:proofErr w:type="spellEnd"/>
            <w:r w:rsidRPr="003476DF">
              <w:t xml:space="preserve">) measurement to support a secondary endpoint related to changes in </w:t>
            </w:r>
            <w:proofErr w:type="spellStart"/>
            <w:r w:rsidRPr="003476DF">
              <w:t>QoL</w:t>
            </w:r>
            <w:proofErr w:type="spellEnd"/>
            <w:r w:rsidRPr="003476DF">
              <w:t xml:space="preserve">. The Agency gives examples of both IBD-specific and generic PRO instruments to support this endpoint – does the agency have a preference for one over the other? Most endpoints listed in section 6.1.1.2 provide information on preferred analysis/presentation of results; the </w:t>
            </w:r>
            <w:proofErr w:type="spellStart"/>
            <w:r w:rsidRPr="003476DF">
              <w:t>QoL</w:t>
            </w:r>
            <w:proofErr w:type="spellEnd"/>
            <w:r w:rsidRPr="003476DF">
              <w:t xml:space="preserve"> endpoint does not. Unlike the Mayo score in which remission can be clearly defined by the absence of signs and symptoms, none of the instruments included in the example have clinically defined criteria for optimal outcomes. As such, can the agency advise on how the endpoint should be developed i.e. mean change from baseline, proportion of patients achieving a pre-defined clinical benefit etc?</w:t>
            </w:r>
          </w:p>
          <w:p w14:paraId="380C1C11" w14:textId="77777777" w:rsidR="00236AD4" w:rsidRDefault="00236AD4" w:rsidP="00A4724A">
            <w:pPr>
              <w:pStyle w:val="TabletextrowsAgency"/>
              <w:spacing w:line="240" w:lineRule="auto"/>
            </w:pPr>
          </w:p>
          <w:p w14:paraId="439D8C3F" w14:textId="77777777" w:rsidR="00236AD4" w:rsidRPr="003476DF" w:rsidRDefault="00236AD4" w:rsidP="00A4724A">
            <w:pPr>
              <w:pStyle w:val="TabletextrowsAgency"/>
              <w:spacing w:line="240" w:lineRule="auto"/>
            </w:pPr>
            <w:r w:rsidRPr="00BE4945">
              <w:rPr>
                <w:b/>
              </w:rPr>
              <w:t>Proposed change (if any):</w:t>
            </w:r>
            <w:r>
              <w:t xml:space="preserve"> Please indicate any preference the agency may have in terms of endpoint and preferred analysis (e.g. SF-36 and EQ-5D)</w:t>
            </w:r>
          </w:p>
        </w:tc>
        <w:tc>
          <w:tcPr>
            <w:tcW w:w="1537" w:type="pct"/>
            <w:shd w:val="clear" w:color="auto" w:fill="E1E3F2"/>
          </w:tcPr>
          <w:p w14:paraId="0E1A1F16" w14:textId="77777777" w:rsidR="00236AD4" w:rsidRPr="00B02408" w:rsidRDefault="00236AD4">
            <w:pPr>
              <w:pStyle w:val="TabletextrowsAgency"/>
              <w:rPr>
                <w:b/>
                <w:color w:val="0000FF"/>
              </w:rPr>
            </w:pPr>
          </w:p>
        </w:tc>
      </w:tr>
      <w:tr w:rsidR="00236AD4" w14:paraId="24D08006" w14:textId="77777777">
        <w:tc>
          <w:tcPr>
            <w:tcW w:w="645" w:type="pct"/>
            <w:shd w:val="clear" w:color="auto" w:fill="E1E3F2"/>
          </w:tcPr>
          <w:p w14:paraId="4DAC1611" w14:textId="77777777" w:rsidR="00236AD4" w:rsidRDefault="00236AD4" w:rsidP="00A4724A">
            <w:pPr>
              <w:pStyle w:val="TabletextrowsAgency"/>
              <w:spacing w:line="240" w:lineRule="auto"/>
            </w:pPr>
            <w:r>
              <w:t>212</w:t>
            </w:r>
          </w:p>
        </w:tc>
        <w:tc>
          <w:tcPr>
            <w:tcW w:w="812" w:type="pct"/>
            <w:shd w:val="clear" w:color="auto" w:fill="E1E3F2"/>
          </w:tcPr>
          <w:p w14:paraId="5DD7588D" w14:textId="6155043F" w:rsidR="00236AD4" w:rsidRPr="00DB0E69" w:rsidRDefault="00236AD4" w:rsidP="00A4724A">
            <w:pPr>
              <w:pStyle w:val="TabletextrowsAgency"/>
              <w:spacing w:line="240" w:lineRule="auto"/>
              <w:rPr>
                <w:b/>
              </w:rPr>
            </w:pPr>
          </w:p>
        </w:tc>
        <w:tc>
          <w:tcPr>
            <w:tcW w:w="2006" w:type="pct"/>
            <w:shd w:val="clear" w:color="auto" w:fill="E1E3F2"/>
          </w:tcPr>
          <w:p w14:paraId="296CF2EA" w14:textId="77777777" w:rsidR="00236AD4" w:rsidRDefault="00236AD4" w:rsidP="00A4724A">
            <w:pPr>
              <w:pStyle w:val="TabletextrowsAgency"/>
              <w:spacing w:line="240" w:lineRule="auto"/>
            </w:pPr>
            <w:r w:rsidRPr="00BF23BE">
              <w:rPr>
                <w:b/>
              </w:rPr>
              <w:t>Comment:</w:t>
            </w:r>
            <w:r>
              <w:t xml:space="preserve"> Colectomies are infrequent in 12-52 week clinical trials, particularly when subjects are allowed rescue therapy.  Consequently, reduction in the number of colectomies may not be a suitable secondary endpoint for UC clinical trials, outside of the proposed indication of “treatment of acute, severe UC”. </w:t>
            </w:r>
          </w:p>
          <w:p w14:paraId="53AFBEBE" w14:textId="77777777" w:rsidR="00236AD4" w:rsidRDefault="00236AD4" w:rsidP="00A4724A">
            <w:pPr>
              <w:pStyle w:val="TabletextrowsAgency"/>
              <w:spacing w:line="240" w:lineRule="auto"/>
            </w:pPr>
          </w:p>
          <w:p w14:paraId="183560A8" w14:textId="77777777" w:rsidR="00236AD4" w:rsidRDefault="00236AD4" w:rsidP="00A4724A">
            <w:pPr>
              <w:pStyle w:val="TabletextrowsAgency"/>
              <w:spacing w:line="240" w:lineRule="auto"/>
            </w:pPr>
            <w:r w:rsidRPr="00BF23BE">
              <w:rPr>
                <w:b/>
              </w:rPr>
              <w:t>Proposed change (if any):</w:t>
            </w:r>
            <w:r>
              <w:t xml:space="preserve"> Consider removing. </w:t>
            </w:r>
          </w:p>
        </w:tc>
        <w:tc>
          <w:tcPr>
            <w:tcW w:w="1537" w:type="pct"/>
            <w:shd w:val="clear" w:color="auto" w:fill="E1E3F2"/>
          </w:tcPr>
          <w:p w14:paraId="52C9DA82" w14:textId="77777777" w:rsidR="00236AD4" w:rsidRPr="00343337" w:rsidRDefault="00236AD4">
            <w:pPr>
              <w:pStyle w:val="TabletextrowsAgency"/>
              <w:rPr>
                <w:b/>
                <w:color w:val="0000FF"/>
              </w:rPr>
            </w:pPr>
          </w:p>
        </w:tc>
      </w:tr>
      <w:tr w:rsidR="00236AD4" w14:paraId="6158F006" w14:textId="77777777">
        <w:tc>
          <w:tcPr>
            <w:tcW w:w="645" w:type="pct"/>
            <w:shd w:val="clear" w:color="auto" w:fill="E1E3F2"/>
          </w:tcPr>
          <w:p w14:paraId="6DCC3500" w14:textId="77777777" w:rsidR="00236AD4" w:rsidRDefault="00236AD4" w:rsidP="00A4724A">
            <w:pPr>
              <w:pStyle w:val="TabletextrowsAgency"/>
              <w:spacing w:line="240" w:lineRule="auto"/>
            </w:pPr>
            <w:r>
              <w:t>213-215</w:t>
            </w:r>
          </w:p>
        </w:tc>
        <w:tc>
          <w:tcPr>
            <w:tcW w:w="812" w:type="pct"/>
            <w:shd w:val="clear" w:color="auto" w:fill="E1E3F2"/>
          </w:tcPr>
          <w:p w14:paraId="4E1A4480" w14:textId="1590E252" w:rsidR="00236AD4" w:rsidRDefault="00236AD4" w:rsidP="00A4724A">
            <w:pPr>
              <w:pStyle w:val="TabletextrowsAgency"/>
              <w:spacing w:line="240" w:lineRule="auto"/>
            </w:pPr>
          </w:p>
        </w:tc>
        <w:tc>
          <w:tcPr>
            <w:tcW w:w="2006" w:type="pct"/>
            <w:shd w:val="clear" w:color="auto" w:fill="E1E3F2"/>
          </w:tcPr>
          <w:p w14:paraId="60C2B3F2" w14:textId="77777777" w:rsidR="00236AD4" w:rsidRDefault="00236AD4" w:rsidP="00A4724A">
            <w:pPr>
              <w:pStyle w:val="TabletextrowsAgency"/>
              <w:spacing w:line="240" w:lineRule="auto"/>
            </w:pPr>
            <w:r w:rsidRPr="00BF23BE">
              <w:rPr>
                <w:b/>
              </w:rPr>
              <w:t>Comment:</w:t>
            </w:r>
            <w:r>
              <w:t xml:space="preserve"> The suggested endpoint of corticosteroid-free remission may be challenging to meet in this difficult-to-treat sub-group and require an unfeasibly large study to have sufficient power to meet this endpoint.  Clinical response would be a more feasible primary endpoint in these patients, with corticosteroid-free clinical response as the first secondary endpoint.</w:t>
            </w:r>
          </w:p>
          <w:p w14:paraId="287E35C3" w14:textId="77777777" w:rsidR="00236AD4" w:rsidRDefault="00236AD4" w:rsidP="00A4724A">
            <w:pPr>
              <w:pStyle w:val="TabletextrowsAgency"/>
              <w:spacing w:line="240" w:lineRule="auto"/>
            </w:pPr>
            <w:r>
              <w:t xml:space="preserve">Clinicians treating patients with UC understand the difference between these endpoints and the implication of achieving each of these endpoints on a per-patient basis. </w:t>
            </w:r>
          </w:p>
          <w:p w14:paraId="0CE1546E" w14:textId="77777777" w:rsidR="00236AD4" w:rsidRDefault="00236AD4" w:rsidP="00A4724A">
            <w:pPr>
              <w:pStyle w:val="TabletextrowsAgency"/>
              <w:spacing w:line="240" w:lineRule="auto"/>
            </w:pPr>
          </w:p>
          <w:p w14:paraId="3B70CA97" w14:textId="77777777" w:rsidR="00236AD4" w:rsidRDefault="00236AD4" w:rsidP="00A4724A">
            <w:pPr>
              <w:pStyle w:val="TabletextrowsAgency"/>
              <w:spacing w:line="240" w:lineRule="auto"/>
            </w:pPr>
            <w:r w:rsidRPr="00BF23BE">
              <w:rPr>
                <w:b/>
              </w:rPr>
              <w:t>Proposed change (if any):</w:t>
            </w:r>
            <w:r>
              <w:t xml:space="preserve"> Consider changing corticosteroid free remission from a primary to a secondary endpoint for this cohort of patients.  </w:t>
            </w:r>
            <w:r w:rsidRPr="00274406">
              <w:t>Consider avoiding a recommendation for a sub-group analysis of corticosteroid-free remission</w:t>
            </w:r>
            <w:r>
              <w:t xml:space="preserve"> </w:t>
            </w:r>
          </w:p>
        </w:tc>
        <w:tc>
          <w:tcPr>
            <w:tcW w:w="1537" w:type="pct"/>
            <w:shd w:val="clear" w:color="auto" w:fill="E1E3F2"/>
          </w:tcPr>
          <w:p w14:paraId="7118D965" w14:textId="77777777" w:rsidR="00236AD4" w:rsidRPr="00B02408" w:rsidRDefault="00236AD4">
            <w:pPr>
              <w:pStyle w:val="TabletextrowsAgency"/>
              <w:rPr>
                <w:b/>
                <w:color w:val="0000FF"/>
              </w:rPr>
            </w:pPr>
          </w:p>
        </w:tc>
      </w:tr>
      <w:tr w:rsidR="00236AD4" w14:paraId="16F7C194" w14:textId="77777777">
        <w:tc>
          <w:tcPr>
            <w:tcW w:w="645" w:type="pct"/>
            <w:shd w:val="clear" w:color="auto" w:fill="E1E3F2"/>
          </w:tcPr>
          <w:p w14:paraId="2BFD0B98" w14:textId="77777777" w:rsidR="00236AD4" w:rsidRDefault="00236AD4" w:rsidP="00A4724A">
            <w:pPr>
              <w:pStyle w:val="TabletextrowsAgency"/>
              <w:spacing w:line="240" w:lineRule="auto"/>
            </w:pPr>
            <w:r>
              <w:t>213-215</w:t>
            </w:r>
          </w:p>
        </w:tc>
        <w:tc>
          <w:tcPr>
            <w:tcW w:w="812" w:type="pct"/>
            <w:shd w:val="clear" w:color="auto" w:fill="E1E3F2"/>
          </w:tcPr>
          <w:p w14:paraId="25B291E6" w14:textId="724719CF" w:rsidR="00236AD4" w:rsidRDefault="00236AD4" w:rsidP="00A4724A">
            <w:pPr>
              <w:pStyle w:val="TabletextrowsAgency"/>
              <w:spacing w:line="240" w:lineRule="auto"/>
            </w:pPr>
          </w:p>
        </w:tc>
        <w:tc>
          <w:tcPr>
            <w:tcW w:w="2006" w:type="pct"/>
            <w:shd w:val="clear" w:color="auto" w:fill="E1E3F2"/>
          </w:tcPr>
          <w:p w14:paraId="4E93E990" w14:textId="77777777" w:rsidR="00236AD4" w:rsidRDefault="00236AD4" w:rsidP="00A4724A">
            <w:pPr>
              <w:pStyle w:val="TabletextrowsAgency"/>
              <w:spacing w:line="240" w:lineRule="auto"/>
            </w:pPr>
            <w:r w:rsidRPr="00BF23BE">
              <w:rPr>
                <w:b/>
              </w:rPr>
              <w:t>Comment:</w:t>
            </w:r>
            <w:r>
              <w:t xml:space="preserve"> The minimum duration of clinical remission in the absence of steroids required to achieve an endpoint of corticosteroid-free remission is not specified.  Feedback from key opinion leaders suggests that a minimum period of 4 weeks is both clinically relevant and important.  </w:t>
            </w:r>
          </w:p>
          <w:p w14:paraId="1B741E52" w14:textId="77777777" w:rsidR="00236AD4" w:rsidRDefault="00236AD4" w:rsidP="00A4724A">
            <w:pPr>
              <w:pStyle w:val="TabletextrowsAgency"/>
              <w:spacing w:line="240" w:lineRule="auto"/>
            </w:pPr>
          </w:p>
          <w:p w14:paraId="50BBDD92" w14:textId="77777777" w:rsidR="00236AD4" w:rsidRDefault="00236AD4" w:rsidP="00A4724A">
            <w:pPr>
              <w:pStyle w:val="TabletextrowsAgency"/>
              <w:spacing w:line="240" w:lineRule="auto"/>
            </w:pPr>
            <w:r w:rsidRPr="00BF23BE">
              <w:rPr>
                <w:b/>
              </w:rPr>
              <w:t>Proposed change (if any):</w:t>
            </w:r>
            <w:r>
              <w:t xml:space="preserve"> Consider making a statement on the minimum duration of steroid-free remission (or response) required to meet these endpoints.  </w:t>
            </w:r>
          </w:p>
        </w:tc>
        <w:tc>
          <w:tcPr>
            <w:tcW w:w="1537" w:type="pct"/>
            <w:shd w:val="clear" w:color="auto" w:fill="E1E3F2"/>
          </w:tcPr>
          <w:p w14:paraId="52300334" w14:textId="77777777" w:rsidR="00236AD4" w:rsidRPr="00B02408" w:rsidRDefault="00236AD4" w:rsidP="00EE312E">
            <w:pPr>
              <w:pStyle w:val="TabletextrowsAgency"/>
              <w:rPr>
                <w:b/>
                <w:color w:val="0000FF"/>
              </w:rPr>
            </w:pPr>
          </w:p>
        </w:tc>
      </w:tr>
      <w:tr w:rsidR="00236AD4" w14:paraId="3B8EA143" w14:textId="77777777">
        <w:tc>
          <w:tcPr>
            <w:tcW w:w="645" w:type="pct"/>
            <w:shd w:val="clear" w:color="auto" w:fill="E1E3F2"/>
          </w:tcPr>
          <w:p w14:paraId="39C9FC85" w14:textId="77777777" w:rsidR="00236AD4" w:rsidRDefault="00236AD4" w:rsidP="00A4724A">
            <w:pPr>
              <w:pStyle w:val="TabletextrowsAgency"/>
              <w:spacing w:line="240" w:lineRule="auto"/>
            </w:pPr>
            <w:r>
              <w:t>218</w:t>
            </w:r>
          </w:p>
        </w:tc>
        <w:tc>
          <w:tcPr>
            <w:tcW w:w="812" w:type="pct"/>
            <w:shd w:val="clear" w:color="auto" w:fill="E1E3F2"/>
          </w:tcPr>
          <w:p w14:paraId="14E9452C" w14:textId="2CB618FB" w:rsidR="00236AD4" w:rsidRDefault="00236AD4" w:rsidP="00A4724A">
            <w:pPr>
              <w:pStyle w:val="TabletextrowsAgency"/>
              <w:spacing w:line="240" w:lineRule="auto"/>
            </w:pPr>
          </w:p>
        </w:tc>
        <w:tc>
          <w:tcPr>
            <w:tcW w:w="2006" w:type="pct"/>
            <w:shd w:val="clear" w:color="auto" w:fill="E1E3F2"/>
          </w:tcPr>
          <w:p w14:paraId="540F6E11" w14:textId="77777777" w:rsidR="00236AD4" w:rsidRDefault="00236AD4" w:rsidP="00A4724A">
            <w:pPr>
              <w:pStyle w:val="TabletextrowsAgency"/>
              <w:spacing w:line="240" w:lineRule="auto"/>
            </w:pPr>
            <w:r w:rsidRPr="002A6DC3">
              <w:rPr>
                <w:b/>
              </w:rPr>
              <w:t>Comment:</w:t>
            </w:r>
            <w:r>
              <w:t xml:space="preserve"> Please clarify the definitions for “mild, moderate and severe”, and how these are measured (i.e. anatomical location versus the Mayo score versus a composite of both).</w:t>
            </w:r>
            <w:r>
              <w:br/>
              <w:t>We consider the Mayo score is more appropriate than the anatomical location (i.e. mild=1, moderate=2, severe=3).</w:t>
            </w:r>
          </w:p>
          <w:p w14:paraId="6EFE6E25" w14:textId="77777777" w:rsidR="00236AD4" w:rsidRDefault="00236AD4" w:rsidP="00A4724A">
            <w:pPr>
              <w:pStyle w:val="TabletextrowsAgency"/>
              <w:spacing w:line="240" w:lineRule="auto"/>
            </w:pPr>
          </w:p>
          <w:p w14:paraId="31D477D4" w14:textId="77777777" w:rsidR="00236AD4" w:rsidRDefault="00236AD4" w:rsidP="00A4724A">
            <w:pPr>
              <w:pStyle w:val="TabletextrowsAgency"/>
              <w:spacing w:line="240" w:lineRule="auto"/>
            </w:pPr>
            <w:r w:rsidRPr="002A6DC3">
              <w:rPr>
                <w:b/>
              </w:rPr>
              <w:t>Proposed change (if any):</w:t>
            </w:r>
          </w:p>
          <w:p w14:paraId="3F05D98E" w14:textId="77777777" w:rsidR="00236AD4" w:rsidRDefault="00236AD4" w:rsidP="00A4724A">
            <w:pPr>
              <w:pStyle w:val="TabletextrowsAgency"/>
              <w:spacing w:line="240" w:lineRule="auto"/>
            </w:pPr>
            <w:r>
              <w:t xml:space="preserve"> “…</w:t>
            </w:r>
            <w:r w:rsidRPr="008C503D">
              <w:t>e.g.</w:t>
            </w:r>
            <w:r w:rsidRPr="00BB16F2">
              <w:rPr>
                <w:color w:val="FF0000"/>
              </w:rPr>
              <w:t xml:space="preserve"> </w:t>
            </w:r>
            <w:r w:rsidRPr="008469CD">
              <w:rPr>
                <w:b/>
                <w:strike/>
              </w:rPr>
              <w:t>mild, moderate and severe</w:t>
            </w:r>
            <w:r>
              <w:rPr>
                <w:color w:val="FF0000"/>
              </w:rPr>
              <w:t xml:space="preserve"> </w:t>
            </w:r>
            <w:r w:rsidRPr="008469CD">
              <w:rPr>
                <w:b/>
              </w:rPr>
              <w:t>by MCS, ES, or UCEIS</w:t>
            </w:r>
            <w:r>
              <w:rPr>
                <w:b/>
              </w:rPr>
              <w:t>.</w:t>
            </w:r>
            <w:r>
              <w:t>”</w:t>
            </w:r>
          </w:p>
        </w:tc>
        <w:tc>
          <w:tcPr>
            <w:tcW w:w="1537" w:type="pct"/>
            <w:shd w:val="clear" w:color="auto" w:fill="E1E3F2"/>
          </w:tcPr>
          <w:p w14:paraId="5E77F8BF" w14:textId="77777777" w:rsidR="00236AD4" w:rsidRPr="00134934" w:rsidRDefault="00236AD4">
            <w:pPr>
              <w:pStyle w:val="TabletextrowsAgency"/>
              <w:rPr>
                <w:b/>
                <w:color w:val="17365D" w:themeColor="text2" w:themeShade="BF"/>
              </w:rPr>
            </w:pPr>
          </w:p>
        </w:tc>
      </w:tr>
      <w:tr w:rsidR="00236AD4" w14:paraId="618D8AB5" w14:textId="77777777">
        <w:tc>
          <w:tcPr>
            <w:tcW w:w="645" w:type="pct"/>
            <w:shd w:val="clear" w:color="auto" w:fill="E1E3F2"/>
          </w:tcPr>
          <w:p w14:paraId="69CD5410" w14:textId="77777777" w:rsidR="00236AD4" w:rsidRDefault="00236AD4" w:rsidP="00D52DCD">
            <w:pPr>
              <w:pStyle w:val="TabletextrowsAgency"/>
              <w:spacing w:line="240" w:lineRule="auto"/>
            </w:pPr>
            <w:r>
              <w:t>273</w:t>
            </w:r>
          </w:p>
        </w:tc>
        <w:tc>
          <w:tcPr>
            <w:tcW w:w="812" w:type="pct"/>
            <w:shd w:val="clear" w:color="auto" w:fill="E1E3F2"/>
          </w:tcPr>
          <w:p w14:paraId="051EEA05" w14:textId="60E9158C" w:rsidR="00236AD4" w:rsidRPr="00D52DCD" w:rsidRDefault="00236AD4" w:rsidP="00D52DCD">
            <w:pPr>
              <w:pStyle w:val="TabletextrowsAgency"/>
              <w:spacing w:line="240" w:lineRule="auto"/>
              <w:rPr>
                <w:b/>
              </w:rPr>
            </w:pPr>
          </w:p>
        </w:tc>
        <w:tc>
          <w:tcPr>
            <w:tcW w:w="2006" w:type="pct"/>
            <w:shd w:val="clear" w:color="auto" w:fill="E1E3F2"/>
          </w:tcPr>
          <w:p w14:paraId="0E046D21" w14:textId="77777777" w:rsidR="00236AD4" w:rsidRDefault="00236AD4" w:rsidP="00D52DCD">
            <w:pPr>
              <w:pStyle w:val="TabletextrowsAgency"/>
              <w:spacing w:line="240" w:lineRule="auto"/>
            </w:pPr>
            <w:r w:rsidRPr="00BF23BE">
              <w:rPr>
                <w:b/>
                <w:bCs/>
              </w:rPr>
              <w:t>Comment:</w:t>
            </w:r>
            <w:r>
              <w:t xml:space="preserve"> Stipulates that subjects entering trials must have had “recent visualization of their GI tract” but does not stipulate what is meant by “recent”.</w:t>
            </w:r>
          </w:p>
          <w:p w14:paraId="5ADB3E03" w14:textId="77777777" w:rsidR="00236AD4" w:rsidRDefault="00236AD4" w:rsidP="00D52DCD">
            <w:pPr>
              <w:pStyle w:val="TabletextrowsAgency"/>
              <w:spacing w:line="240" w:lineRule="auto"/>
            </w:pPr>
          </w:p>
          <w:p w14:paraId="27E6EDAE" w14:textId="77777777" w:rsidR="00236AD4" w:rsidRDefault="00236AD4" w:rsidP="00D52DCD">
            <w:pPr>
              <w:pStyle w:val="TabletextrowsAgency"/>
              <w:spacing w:line="240" w:lineRule="auto"/>
            </w:pPr>
            <w:r w:rsidRPr="00BF23BE">
              <w:rPr>
                <w:b/>
                <w:bCs/>
              </w:rPr>
              <w:t>Proposed change:</w:t>
            </w:r>
            <w:r>
              <w:t xml:space="preserve"> Propose recommendation for what is considered "recent". </w:t>
            </w:r>
          </w:p>
        </w:tc>
        <w:tc>
          <w:tcPr>
            <w:tcW w:w="1537" w:type="pct"/>
            <w:shd w:val="clear" w:color="auto" w:fill="E1E3F2"/>
          </w:tcPr>
          <w:p w14:paraId="6138F7F6" w14:textId="77777777" w:rsidR="00236AD4" w:rsidRPr="0076509A" w:rsidRDefault="00236AD4">
            <w:pPr>
              <w:pStyle w:val="TabletextrowsAgency"/>
              <w:rPr>
                <w:b/>
                <w:color w:val="0000FF"/>
              </w:rPr>
            </w:pPr>
          </w:p>
        </w:tc>
      </w:tr>
      <w:tr w:rsidR="00236AD4" w14:paraId="1CD5F25A" w14:textId="77777777">
        <w:tc>
          <w:tcPr>
            <w:tcW w:w="645" w:type="pct"/>
            <w:shd w:val="clear" w:color="auto" w:fill="E1E3F2"/>
          </w:tcPr>
          <w:p w14:paraId="0E0F22A4" w14:textId="77777777" w:rsidR="00236AD4" w:rsidRDefault="00236AD4" w:rsidP="004F133B">
            <w:pPr>
              <w:pStyle w:val="TabletextrowsAgency"/>
              <w:spacing w:line="240" w:lineRule="auto"/>
            </w:pPr>
            <w:r>
              <w:t>275-276</w:t>
            </w:r>
          </w:p>
        </w:tc>
        <w:tc>
          <w:tcPr>
            <w:tcW w:w="812" w:type="pct"/>
            <w:shd w:val="clear" w:color="auto" w:fill="E1E3F2"/>
          </w:tcPr>
          <w:p w14:paraId="75B09BBB" w14:textId="68EC76D2" w:rsidR="00236AD4" w:rsidRDefault="00236AD4" w:rsidP="004F133B">
            <w:pPr>
              <w:pStyle w:val="TabletextrowsAgency"/>
              <w:spacing w:line="240" w:lineRule="auto"/>
            </w:pPr>
          </w:p>
        </w:tc>
        <w:tc>
          <w:tcPr>
            <w:tcW w:w="2006" w:type="pct"/>
            <w:shd w:val="clear" w:color="auto" w:fill="E1E3F2"/>
          </w:tcPr>
          <w:p w14:paraId="135350F1" w14:textId="77777777" w:rsidR="00236AD4" w:rsidRDefault="00236AD4" w:rsidP="004F133B">
            <w:pPr>
              <w:pStyle w:val="TabletextrowsAgency"/>
              <w:spacing w:line="240" w:lineRule="auto"/>
            </w:pPr>
            <w:r>
              <w:t xml:space="preserve">If the Full Mayo score is no longer accepted (as noted on line 167-8, which states the PGA component is no longer of interest), then please update this sentence to indicate what is acceptable to define disease for inclusion.  Also, is the range specified in this sentence intended to define only moderate to severe disease?  </w:t>
            </w:r>
          </w:p>
        </w:tc>
        <w:tc>
          <w:tcPr>
            <w:tcW w:w="1537" w:type="pct"/>
            <w:shd w:val="clear" w:color="auto" w:fill="E1E3F2"/>
          </w:tcPr>
          <w:p w14:paraId="7E54F8B3" w14:textId="77777777" w:rsidR="00236AD4" w:rsidRPr="00B02408" w:rsidRDefault="00236AD4" w:rsidP="004F133B">
            <w:pPr>
              <w:pStyle w:val="TabletextrowsAgency"/>
              <w:rPr>
                <w:b/>
                <w:color w:val="0000FF"/>
              </w:rPr>
            </w:pPr>
          </w:p>
        </w:tc>
      </w:tr>
      <w:tr w:rsidR="00236AD4" w14:paraId="1C0821CB" w14:textId="77777777">
        <w:tc>
          <w:tcPr>
            <w:tcW w:w="645" w:type="pct"/>
            <w:shd w:val="clear" w:color="auto" w:fill="E1E3F2"/>
          </w:tcPr>
          <w:p w14:paraId="56BF1BF8" w14:textId="77777777" w:rsidR="00236AD4" w:rsidRDefault="00236AD4" w:rsidP="00D52DCD">
            <w:pPr>
              <w:pStyle w:val="TabletextrowsAgency"/>
              <w:spacing w:line="240" w:lineRule="auto"/>
            </w:pPr>
            <w:r>
              <w:t>284</w:t>
            </w:r>
          </w:p>
          <w:p w14:paraId="7CA0D88D" w14:textId="77777777" w:rsidR="00236AD4" w:rsidRDefault="00236AD4" w:rsidP="00D52DCD">
            <w:pPr>
              <w:pStyle w:val="TabletextrowsAgency"/>
              <w:spacing w:line="240" w:lineRule="auto"/>
            </w:pPr>
          </w:p>
          <w:p w14:paraId="41A082CC" w14:textId="77777777" w:rsidR="00236AD4" w:rsidRDefault="00236AD4" w:rsidP="00D52DCD">
            <w:pPr>
              <w:pStyle w:val="TabletextrowsAgency"/>
              <w:spacing w:line="240" w:lineRule="auto"/>
            </w:pPr>
          </w:p>
          <w:p w14:paraId="45C6A367" w14:textId="77777777" w:rsidR="00236AD4" w:rsidRDefault="00236AD4" w:rsidP="00D52DCD">
            <w:pPr>
              <w:pStyle w:val="TabletextrowsAgency"/>
              <w:spacing w:line="240" w:lineRule="auto"/>
            </w:pPr>
          </w:p>
          <w:p w14:paraId="70777158" w14:textId="77777777" w:rsidR="00236AD4" w:rsidRDefault="00236AD4" w:rsidP="00D52DCD">
            <w:pPr>
              <w:pStyle w:val="TabletextrowsAgency"/>
              <w:spacing w:line="240" w:lineRule="auto"/>
            </w:pPr>
          </w:p>
          <w:p w14:paraId="31442F63" w14:textId="77777777" w:rsidR="00236AD4" w:rsidRDefault="00236AD4" w:rsidP="00D52DCD">
            <w:pPr>
              <w:pStyle w:val="TabletextrowsAgency"/>
              <w:spacing w:line="240" w:lineRule="auto"/>
            </w:pPr>
          </w:p>
          <w:p w14:paraId="1FDAAA88" w14:textId="77777777" w:rsidR="00236AD4" w:rsidRDefault="00236AD4" w:rsidP="00D52DCD">
            <w:pPr>
              <w:pStyle w:val="TabletextrowsAgency"/>
              <w:spacing w:line="240" w:lineRule="auto"/>
            </w:pPr>
          </w:p>
          <w:p w14:paraId="22CCD469" w14:textId="77777777" w:rsidR="00236AD4" w:rsidRDefault="00236AD4" w:rsidP="00D52DCD">
            <w:pPr>
              <w:pStyle w:val="TabletextrowsAgency"/>
              <w:spacing w:line="240" w:lineRule="auto"/>
            </w:pPr>
          </w:p>
          <w:p w14:paraId="26FD920B" w14:textId="77777777" w:rsidR="00236AD4" w:rsidRDefault="00236AD4" w:rsidP="00D52DCD">
            <w:pPr>
              <w:pStyle w:val="TabletextrowsAgency"/>
              <w:spacing w:line="240" w:lineRule="auto"/>
            </w:pPr>
          </w:p>
          <w:p w14:paraId="68D877ED" w14:textId="77777777" w:rsidR="00236AD4" w:rsidRDefault="00236AD4" w:rsidP="00D52DCD">
            <w:pPr>
              <w:pStyle w:val="TabletextrowsAgency"/>
              <w:spacing w:line="240" w:lineRule="auto"/>
            </w:pPr>
          </w:p>
          <w:p w14:paraId="537DA752" w14:textId="77777777" w:rsidR="00236AD4" w:rsidRDefault="00236AD4" w:rsidP="00D52DCD">
            <w:pPr>
              <w:pStyle w:val="TabletextrowsAgency"/>
              <w:spacing w:line="240" w:lineRule="auto"/>
            </w:pPr>
          </w:p>
          <w:p w14:paraId="1688E808" w14:textId="77777777" w:rsidR="00236AD4" w:rsidRDefault="00236AD4" w:rsidP="00D52DCD">
            <w:pPr>
              <w:pStyle w:val="TabletextrowsAgency"/>
              <w:spacing w:line="240" w:lineRule="auto"/>
            </w:pPr>
          </w:p>
          <w:p w14:paraId="1D3A3C52" w14:textId="77777777" w:rsidR="00236AD4" w:rsidRDefault="00236AD4" w:rsidP="00D52DCD">
            <w:pPr>
              <w:pStyle w:val="TabletextrowsAgency"/>
              <w:spacing w:line="240" w:lineRule="auto"/>
            </w:pPr>
          </w:p>
          <w:p w14:paraId="5E28DF38" w14:textId="77777777" w:rsidR="00236AD4" w:rsidRDefault="00236AD4" w:rsidP="00D52DCD">
            <w:pPr>
              <w:pStyle w:val="TabletextrowsAgency"/>
              <w:spacing w:line="240" w:lineRule="auto"/>
            </w:pPr>
          </w:p>
          <w:p w14:paraId="6108417B" w14:textId="77777777" w:rsidR="00236AD4" w:rsidRDefault="00236AD4" w:rsidP="00D52DCD">
            <w:pPr>
              <w:pStyle w:val="TabletextrowsAgency"/>
              <w:spacing w:line="240" w:lineRule="auto"/>
            </w:pPr>
          </w:p>
          <w:p w14:paraId="14C4F93B" w14:textId="77777777" w:rsidR="00236AD4" w:rsidRDefault="00236AD4" w:rsidP="00D52DCD">
            <w:pPr>
              <w:pStyle w:val="TabletextrowsAgency"/>
              <w:spacing w:line="240" w:lineRule="auto"/>
            </w:pPr>
          </w:p>
          <w:p w14:paraId="639A1556" w14:textId="77777777" w:rsidR="00236AD4" w:rsidRDefault="00236AD4" w:rsidP="00D52DCD">
            <w:pPr>
              <w:pStyle w:val="TabletextrowsAgency"/>
              <w:spacing w:line="240" w:lineRule="auto"/>
            </w:pPr>
          </w:p>
          <w:p w14:paraId="29317A55" w14:textId="77777777" w:rsidR="00236AD4" w:rsidRDefault="00236AD4" w:rsidP="00D52DCD">
            <w:pPr>
              <w:pStyle w:val="TabletextrowsAgency"/>
              <w:spacing w:line="240" w:lineRule="auto"/>
            </w:pPr>
          </w:p>
          <w:p w14:paraId="6A2ECC8B" w14:textId="77777777" w:rsidR="00236AD4" w:rsidRDefault="00236AD4" w:rsidP="00D52DCD">
            <w:pPr>
              <w:pStyle w:val="TabletextrowsAgency"/>
              <w:spacing w:line="240" w:lineRule="auto"/>
            </w:pPr>
          </w:p>
          <w:p w14:paraId="2069DD25" w14:textId="77777777" w:rsidR="00236AD4" w:rsidRDefault="00236AD4" w:rsidP="00D52DCD">
            <w:pPr>
              <w:pStyle w:val="TabletextrowsAgency"/>
              <w:spacing w:line="240" w:lineRule="auto"/>
            </w:pPr>
          </w:p>
          <w:p w14:paraId="18559675" w14:textId="77777777" w:rsidR="00236AD4" w:rsidRDefault="00236AD4" w:rsidP="00D52DCD">
            <w:pPr>
              <w:pStyle w:val="TabletextrowsAgency"/>
              <w:spacing w:line="240" w:lineRule="auto"/>
            </w:pPr>
          </w:p>
          <w:p w14:paraId="2679BAF5" w14:textId="77777777" w:rsidR="00236AD4" w:rsidRDefault="00236AD4" w:rsidP="00D52DCD">
            <w:pPr>
              <w:pStyle w:val="TabletextrowsAgency"/>
              <w:spacing w:line="240" w:lineRule="auto"/>
            </w:pPr>
          </w:p>
          <w:p w14:paraId="2706022D" w14:textId="77777777" w:rsidR="00236AD4" w:rsidRDefault="00236AD4" w:rsidP="00D52DCD">
            <w:pPr>
              <w:pStyle w:val="TabletextrowsAgency"/>
              <w:spacing w:line="240" w:lineRule="auto"/>
            </w:pPr>
          </w:p>
          <w:p w14:paraId="2C8E4287" w14:textId="77777777" w:rsidR="00236AD4" w:rsidRDefault="00236AD4" w:rsidP="00D52DCD">
            <w:pPr>
              <w:pStyle w:val="TabletextrowsAgency"/>
              <w:spacing w:line="240" w:lineRule="auto"/>
            </w:pPr>
          </w:p>
          <w:p w14:paraId="689B0823" w14:textId="77777777" w:rsidR="00236AD4" w:rsidRDefault="00236AD4" w:rsidP="00D52DCD">
            <w:pPr>
              <w:pStyle w:val="TabletextrowsAgency"/>
              <w:spacing w:line="240" w:lineRule="auto"/>
            </w:pPr>
          </w:p>
          <w:p w14:paraId="1E94116A" w14:textId="77777777" w:rsidR="00236AD4" w:rsidRDefault="00236AD4" w:rsidP="00D52DCD">
            <w:pPr>
              <w:pStyle w:val="TabletextrowsAgency"/>
              <w:spacing w:line="240" w:lineRule="auto"/>
            </w:pPr>
          </w:p>
          <w:p w14:paraId="316CDC29" w14:textId="77777777" w:rsidR="00236AD4" w:rsidRDefault="00236AD4" w:rsidP="00D52DCD">
            <w:pPr>
              <w:pStyle w:val="TabletextrowsAgency"/>
              <w:spacing w:line="240" w:lineRule="auto"/>
            </w:pPr>
          </w:p>
          <w:p w14:paraId="3846E3C4" w14:textId="77777777" w:rsidR="00236AD4" w:rsidRDefault="00236AD4" w:rsidP="00D52DCD">
            <w:pPr>
              <w:pStyle w:val="TabletextrowsAgency"/>
              <w:spacing w:line="240" w:lineRule="auto"/>
            </w:pPr>
          </w:p>
          <w:p w14:paraId="129CAC00" w14:textId="77777777" w:rsidR="00236AD4" w:rsidRDefault="00236AD4" w:rsidP="00D52DCD">
            <w:pPr>
              <w:pStyle w:val="TabletextrowsAgency"/>
              <w:spacing w:line="240" w:lineRule="auto"/>
            </w:pPr>
          </w:p>
          <w:p w14:paraId="1F7F2EA7" w14:textId="77777777" w:rsidR="00236AD4" w:rsidRDefault="00236AD4" w:rsidP="00D52DCD">
            <w:pPr>
              <w:pStyle w:val="TabletextrowsAgency"/>
              <w:spacing w:line="240" w:lineRule="auto"/>
            </w:pPr>
          </w:p>
          <w:p w14:paraId="6D2D8E6A" w14:textId="77777777" w:rsidR="00236AD4" w:rsidRDefault="00236AD4" w:rsidP="00D52DCD">
            <w:pPr>
              <w:pStyle w:val="TabletextrowsAgency"/>
              <w:spacing w:line="240" w:lineRule="auto"/>
            </w:pPr>
          </w:p>
          <w:p w14:paraId="07BD58DF" w14:textId="77777777" w:rsidR="00236AD4" w:rsidRDefault="00236AD4" w:rsidP="00D52DCD">
            <w:pPr>
              <w:pStyle w:val="TabletextrowsAgency"/>
              <w:spacing w:line="240" w:lineRule="auto"/>
            </w:pPr>
          </w:p>
          <w:p w14:paraId="060706E8" w14:textId="77777777" w:rsidR="00236AD4" w:rsidRDefault="00236AD4" w:rsidP="00D52DCD">
            <w:pPr>
              <w:pStyle w:val="TabletextrowsAgency"/>
              <w:spacing w:line="240" w:lineRule="auto"/>
            </w:pPr>
          </w:p>
          <w:p w14:paraId="56A0A5FB" w14:textId="77777777" w:rsidR="00236AD4" w:rsidRDefault="00236AD4" w:rsidP="00D52DCD">
            <w:pPr>
              <w:pStyle w:val="TabletextrowsAgency"/>
              <w:spacing w:line="240" w:lineRule="auto"/>
            </w:pPr>
          </w:p>
          <w:p w14:paraId="6C0C74C2" w14:textId="77777777" w:rsidR="00236AD4" w:rsidRDefault="00236AD4" w:rsidP="00D52DCD">
            <w:pPr>
              <w:pStyle w:val="TabletextrowsAgency"/>
              <w:spacing w:line="240" w:lineRule="auto"/>
            </w:pPr>
          </w:p>
          <w:p w14:paraId="34E829DE" w14:textId="77777777" w:rsidR="00236AD4" w:rsidRDefault="00236AD4" w:rsidP="00D52DCD">
            <w:pPr>
              <w:pStyle w:val="TabletextrowsAgency"/>
              <w:spacing w:line="240" w:lineRule="auto"/>
            </w:pPr>
          </w:p>
          <w:p w14:paraId="499AF8FF" w14:textId="77777777" w:rsidR="00236AD4" w:rsidRDefault="00236AD4" w:rsidP="00D52DCD">
            <w:pPr>
              <w:pStyle w:val="TabletextrowsAgency"/>
              <w:spacing w:line="240" w:lineRule="auto"/>
            </w:pPr>
          </w:p>
          <w:p w14:paraId="594F3630" w14:textId="77777777" w:rsidR="00236AD4" w:rsidRDefault="00236AD4" w:rsidP="00D52DCD">
            <w:pPr>
              <w:pStyle w:val="TabletextrowsAgency"/>
              <w:spacing w:line="240" w:lineRule="auto"/>
            </w:pPr>
          </w:p>
          <w:p w14:paraId="4EDEAA53" w14:textId="77777777" w:rsidR="00236AD4" w:rsidRDefault="00236AD4" w:rsidP="00D52DCD">
            <w:pPr>
              <w:pStyle w:val="TabletextrowsAgency"/>
              <w:spacing w:line="240" w:lineRule="auto"/>
            </w:pPr>
          </w:p>
          <w:p w14:paraId="4F3918A7" w14:textId="77777777" w:rsidR="00236AD4" w:rsidRDefault="00236AD4" w:rsidP="00D52DCD">
            <w:pPr>
              <w:pStyle w:val="TabletextrowsAgency"/>
              <w:spacing w:line="240" w:lineRule="auto"/>
            </w:pPr>
          </w:p>
          <w:p w14:paraId="5C73AB16" w14:textId="77777777" w:rsidR="00236AD4" w:rsidRDefault="00236AD4" w:rsidP="00D52DCD">
            <w:pPr>
              <w:pStyle w:val="TabletextrowsAgency"/>
              <w:spacing w:line="240" w:lineRule="auto"/>
            </w:pPr>
          </w:p>
          <w:p w14:paraId="5C7764D3" w14:textId="77777777" w:rsidR="00236AD4" w:rsidRPr="003D469D" w:rsidRDefault="00236AD4" w:rsidP="00D52DCD">
            <w:pPr>
              <w:pStyle w:val="TabletextrowsAgency"/>
              <w:spacing w:line="240" w:lineRule="auto"/>
              <w:rPr>
                <w:b/>
              </w:rPr>
            </w:pPr>
            <w:r w:rsidRPr="003D469D">
              <w:rPr>
                <w:b/>
              </w:rPr>
              <w:t>Additional related comments:</w:t>
            </w:r>
          </w:p>
          <w:p w14:paraId="6B63D9D4" w14:textId="77777777" w:rsidR="00236AD4" w:rsidRDefault="00236AD4" w:rsidP="00D52DCD">
            <w:pPr>
              <w:pStyle w:val="TabletextrowsAgency"/>
              <w:spacing w:line="240" w:lineRule="auto"/>
            </w:pPr>
          </w:p>
          <w:p w14:paraId="70A8786C" w14:textId="77777777" w:rsidR="00236AD4" w:rsidRDefault="00236AD4" w:rsidP="00D52DCD">
            <w:pPr>
              <w:pStyle w:val="TabletextrowsAgency"/>
              <w:spacing w:line="240" w:lineRule="auto"/>
            </w:pPr>
            <w:r>
              <w:t>262-263</w:t>
            </w:r>
          </w:p>
          <w:p w14:paraId="0A20C258" w14:textId="77777777" w:rsidR="00236AD4" w:rsidRDefault="00236AD4" w:rsidP="00D52DCD">
            <w:pPr>
              <w:pStyle w:val="TabletextrowsAgency"/>
              <w:spacing w:line="240" w:lineRule="auto"/>
            </w:pPr>
          </w:p>
          <w:p w14:paraId="25CC6E3B" w14:textId="77777777" w:rsidR="00236AD4" w:rsidRDefault="00236AD4" w:rsidP="00D52DCD">
            <w:pPr>
              <w:pStyle w:val="TabletextrowsAgency"/>
              <w:spacing w:line="240" w:lineRule="auto"/>
            </w:pPr>
          </w:p>
          <w:p w14:paraId="2EAD931E" w14:textId="77777777" w:rsidR="00236AD4" w:rsidRDefault="00236AD4" w:rsidP="00D52DCD">
            <w:pPr>
              <w:pStyle w:val="TabletextrowsAgency"/>
              <w:spacing w:line="240" w:lineRule="auto"/>
            </w:pPr>
          </w:p>
          <w:p w14:paraId="53F1BCE4" w14:textId="77777777" w:rsidR="00236AD4" w:rsidRDefault="00236AD4" w:rsidP="00D52DCD">
            <w:pPr>
              <w:pStyle w:val="TabletextrowsAgency"/>
              <w:spacing w:line="240" w:lineRule="auto"/>
            </w:pPr>
          </w:p>
          <w:p w14:paraId="7BE84C3E" w14:textId="77777777" w:rsidR="00236AD4" w:rsidRDefault="00236AD4" w:rsidP="00D52DCD">
            <w:pPr>
              <w:pStyle w:val="TabletextrowsAgency"/>
              <w:spacing w:line="240" w:lineRule="auto"/>
            </w:pPr>
          </w:p>
          <w:p w14:paraId="19C1E96D" w14:textId="77777777" w:rsidR="00236AD4" w:rsidRDefault="00236AD4" w:rsidP="00D52DCD">
            <w:pPr>
              <w:pStyle w:val="TabletextrowsAgency"/>
              <w:spacing w:line="240" w:lineRule="auto"/>
            </w:pPr>
          </w:p>
          <w:p w14:paraId="3F24BAA9" w14:textId="77777777" w:rsidR="00236AD4" w:rsidRDefault="00236AD4" w:rsidP="00D52DCD">
            <w:pPr>
              <w:pStyle w:val="TabletextrowsAgency"/>
              <w:spacing w:line="240" w:lineRule="auto"/>
            </w:pPr>
          </w:p>
          <w:p w14:paraId="7F19CAD8" w14:textId="77777777" w:rsidR="00236AD4" w:rsidRDefault="00236AD4" w:rsidP="00D52DCD">
            <w:pPr>
              <w:pStyle w:val="TabletextrowsAgency"/>
              <w:spacing w:line="240" w:lineRule="auto"/>
            </w:pPr>
          </w:p>
          <w:p w14:paraId="1B87BE6D" w14:textId="77777777" w:rsidR="00236AD4" w:rsidRDefault="00236AD4" w:rsidP="00D52DCD">
            <w:pPr>
              <w:pStyle w:val="TabletextrowsAgency"/>
              <w:spacing w:line="240" w:lineRule="auto"/>
            </w:pPr>
            <w:r>
              <w:t>284</w:t>
            </w:r>
          </w:p>
        </w:tc>
        <w:tc>
          <w:tcPr>
            <w:tcW w:w="812" w:type="pct"/>
            <w:shd w:val="clear" w:color="auto" w:fill="E1E3F2"/>
          </w:tcPr>
          <w:p w14:paraId="5CC04712" w14:textId="77777777" w:rsidR="00236AD4" w:rsidRDefault="00236AD4" w:rsidP="00D52DCD">
            <w:pPr>
              <w:pStyle w:val="TabletextrowsAgency"/>
              <w:spacing w:line="240" w:lineRule="auto"/>
              <w:rPr>
                <w:b/>
              </w:rPr>
            </w:pPr>
          </w:p>
          <w:p w14:paraId="577362C4" w14:textId="77777777" w:rsidR="00236AD4" w:rsidRDefault="00236AD4" w:rsidP="00D52DCD">
            <w:pPr>
              <w:pStyle w:val="TabletextrowsAgency"/>
              <w:spacing w:line="240" w:lineRule="auto"/>
              <w:rPr>
                <w:b/>
              </w:rPr>
            </w:pPr>
          </w:p>
          <w:p w14:paraId="00A0E242" w14:textId="77777777" w:rsidR="00236AD4" w:rsidRDefault="00236AD4" w:rsidP="00D52DCD">
            <w:pPr>
              <w:pStyle w:val="TabletextrowsAgency"/>
              <w:spacing w:line="240" w:lineRule="auto"/>
              <w:rPr>
                <w:b/>
              </w:rPr>
            </w:pPr>
          </w:p>
          <w:p w14:paraId="3714A46A" w14:textId="77777777" w:rsidR="00236AD4" w:rsidRDefault="00236AD4" w:rsidP="00D52DCD">
            <w:pPr>
              <w:pStyle w:val="TabletextrowsAgency"/>
              <w:spacing w:line="240" w:lineRule="auto"/>
              <w:rPr>
                <w:b/>
              </w:rPr>
            </w:pPr>
          </w:p>
          <w:p w14:paraId="2DF45751" w14:textId="77777777" w:rsidR="00236AD4" w:rsidRDefault="00236AD4" w:rsidP="00D52DCD">
            <w:pPr>
              <w:pStyle w:val="TabletextrowsAgency"/>
              <w:spacing w:line="240" w:lineRule="auto"/>
              <w:rPr>
                <w:b/>
              </w:rPr>
            </w:pPr>
          </w:p>
          <w:p w14:paraId="11C69772" w14:textId="77777777" w:rsidR="00236AD4" w:rsidRDefault="00236AD4" w:rsidP="00D52DCD">
            <w:pPr>
              <w:pStyle w:val="TabletextrowsAgency"/>
              <w:spacing w:line="240" w:lineRule="auto"/>
              <w:rPr>
                <w:b/>
              </w:rPr>
            </w:pPr>
          </w:p>
          <w:p w14:paraId="0AAC9BCD" w14:textId="77777777" w:rsidR="00236AD4" w:rsidRDefault="00236AD4" w:rsidP="00D52DCD">
            <w:pPr>
              <w:pStyle w:val="TabletextrowsAgency"/>
              <w:spacing w:line="240" w:lineRule="auto"/>
              <w:rPr>
                <w:b/>
              </w:rPr>
            </w:pPr>
          </w:p>
          <w:p w14:paraId="1AE1C178" w14:textId="77777777" w:rsidR="00236AD4" w:rsidRDefault="00236AD4" w:rsidP="00D52DCD">
            <w:pPr>
              <w:pStyle w:val="TabletextrowsAgency"/>
              <w:spacing w:line="240" w:lineRule="auto"/>
              <w:rPr>
                <w:b/>
              </w:rPr>
            </w:pPr>
          </w:p>
          <w:p w14:paraId="61C7E2B2" w14:textId="77777777" w:rsidR="00236AD4" w:rsidRDefault="00236AD4" w:rsidP="00D52DCD">
            <w:pPr>
              <w:pStyle w:val="TabletextrowsAgency"/>
              <w:spacing w:line="240" w:lineRule="auto"/>
              <w:rPr>
                <w:b/>
              </w:rPr>
            </w:pPr>
          </w:p>
          <w:p w14:paraId="4C50B927" w14:textId="77777777" w:rsidR="00236AD4" w:rsidRDefault="00236AD4" w:rsidP="00D52DCD">
            <w:pPr>
              <w:pStyle w:val="TabletextrowsAgency"/>
              <w:spacing w:line="240" w:lineRule="auto"/>
              <w:rPr>
                <w:b/>
              </w:rPr>
            </w:pPr>
          </w:p>
          <w:p w14:paraId="4FDBFBFC" w14:textId="77777777" w:rsidR="00236AD4" w:rsidRDefault="00236AD4" w:rsidP="00D52DCD">
            <w:pPr>
              <w:pStyle w:val="TabletextrowsAgency"/>
              <w:spacing w:line="240" w:lineRule="auto"/>
              <w:rPr>
                <w:b/>
              </w:rPr>
            </w:pPr>
          </w:p>
          <w:p w14:paraId="455EE530" w14:textId="77777777" w:rsidR="00236AD4" w:rsidRDefault="00236AD4" w:rsidP="00D52DCD">
            <w:pPr>
              <w:pStyle w:val="TabletextrowsAgency"/>
              <w:spacing w:line="240" w:lineRule="auto"/>
              <w:rPr>
                <w:b/>
              </w:rPr>
            </w:pPr>
          </w:p>
          <w:p w14:paraId="648B38D4" w14:textId="77777777" w:rsidR="00236AD4" w:rsidRDefault="00236AD4" w:rsidP="00D52DCD">
            <w:pPr>
              <w:pStyle w:val="TabletextrowsAgency"/>
              <w:spacing w:line="240" w:lineRule="auto"/>
              <w:rPr>
                <w:b/>
              </w:rPr>
            </w:pPr>
          </w:p>
          <w:p w14:paraId="4C10076A" w14:textId="77777777" w:rsidR="00236AD4" w:rsidRDefault="00236AD4" w:rsidP="00D52DCD">
            <w:pPr>
              <w:pStyle w:val="TabletextrowsAgency"/>
              <w:spacing w:line="240" w:lineRule="auto"/>
              <w:rPr>
                <w:b/>
              </w:rPr>
            </w:pPr>
          </w:p>
          <w:p w14:paraId="1DF944A7" w14:textId="77777777" w:rsidR="00236AD4" w:rsidRDefault="00236AD4" w:rsidP="00D52DCD">
            <w:pPr>
              <w:pStyle w:val="TabletextrowsAgency"/>
              <w:spacing w:line="240" w:lineRule="auto"/>
              <w:rPr>
                <w:b/>
              </w:rPr>
            </w:pPr>
          </w:p>
          <w:p w14:paraId="7ECB77A8" w14:textId="77777777" w:rsidR="00236AD4" w:rsidRDefault="00236AD4" w:rsidP="00D52DCD">
            <w:pPr>
              <w:pStyle w:val="TabletextrowsAgency"/>
              <w:spacing w:line="240" w:lineRule="auto"/>
              <w:rPr>
                <w:b/>
              </w:rPr>
            </w:pPr>
          </w:p>
          <w:p w14:paraId="5EBA62B0" w14:textId="77777777" w:rsidR="00236AD4" w:rsidRDefault="00236AD4" w:rsidP="00D52DCD">
            <w:pPr>
              <w:pStyle w:val="TabletextrowsAgency"/>
              <w:spacing w:line="240" w:lineRule="auto"/>
              <w:rPr>
                <w:b/>
              </w:rPr>
            </w:pPr>
          </w:p>
          <w:p w14:paraId="2F68E11D" w14:textId="77777777" w:rsidR="00236AD4" w:rsidRDefault="00236AD4" w:rsidP="00D52DCD">
            <w:pPr>
              <w:pStyle w:val="TabletextrowsAgency"/>
              <w:spacing w:line="240" w:lineRule="auto"/>
              <w:rPr>
                <w:b/>
              </w:rPr>
            </w:pPr>
          </w:p>
          <w:p w14:paraId="6590F3F1" w14:textId="77777777" w:rsidR="00236AD4" w:rsidRDefault="00236AD4" w:rsidP="00D52DCD">
            <w:pPr>
              <w:pStyle w:val="TabletextrowsAgency"/>
              <w:spacing w:line="240" w:lineRule="auto"/>
              <w:rPr>
                <w:b/>
              </w:rPr>
            </w:pPr>
          </w:p>
          <w:p w14:paraId="04EB5FA9" w14:textId="77777777" w:rsidR="00236AD4" w:rsidRDefault="00236AD4" w:rsidP="00D52DCD">
            <w:pPr>
              <w:pStyle w:val="TabletextrowsAgency"/>
              <w:spacing w:line="240" w:lineRule="auto"/>
              <w:rPr>
                <w:b/>
              </w:rPr>
            </w:pPr>
          </w:p>
          <w:p w14:paraId="54C19A94" w14:textId="77777777" w:rsidR="00236AD4" w:rsidRDefault="00236AD4" w:rsidP="00D52DCD">
            <w:pPr>
              <w:pStyle w:val="TabletextrowsAgency"/>
              <w:spacing w:line="240" w:lineRule="auto"/>
              <w:rPr>
                <w:b/>
              </w:rPr>
            </w:pPr>
          </w:p>
          <w:p w14:paraId="225404D9" w14:textId="77777777" w:rsidR="00236AD4" w:rsidRDefault="00236AD4" w:rsidP="00D52DCD">
            <w:pPr>
              <w:pStyle w:val="TabletextrowsAgency"/>
              <w:spacing w:line="240" w:lineRule="auto"/>
              <w:rPr>
                <w:b/>
              </w:rPr>
            </w:pPr>
          </w:p>
          <w:p w14:paraId="0C4AAD96" w14:textId="77777777" w:rsidR="00236AD4" w:rsidRDefault="00236AD4" w:rsidP="00D52DCD">
            <w:pPr>
              <w:pStyle w:val="TabletextrowsAgency"/>
              <w:spacing w:line="240" w:lineRule="auto"/>
              <w:rPr>
                <w:b/>
              </w:rPr>
            </w:pPr>
          </w:p>
          <w:p w14:paraId="27F2022D" w14:textId="77777777" w:rsidR="00236AD4" w:rsidRDefault="00236AD4" w:rsidP="00D52DCD">
            <w:pPr>
              <w:pStyle w:val="TabletextrowsAgency"/>
              <w:spacing w:line="240" w:lineRule="auto"/>
              <w:rPr>
                <w:b/>
              </w:rPr>
            </w:pPr>
          </w:p>
          <w:p w14:paraId="0A4A320C" w14:textId="77777777" w:rsidR="00236AD4" w:rsidRDefault="00236AD4" w:rsidP="00D52DCD">
            <w:pPr>
              <w:pStyle w:val="TabletextrowsAgency"/>
              <w:spacing w:line="240" w:lineRule="auto"/>
              <w:rPr>
                <w:b/>
              </w:rPr>
            </w:pPr>
          </w:p>
          <w:p w14:paraId="5B6EA497" w14:textId="77777777" w:rsidR="00236AD4" w:rsidRDefault="00236AD4" w:rsidP="00D52DCD">
            <w:pPr>
              <w:pStyle w:val="TabletextrowsAgency"/>
              <w:spacing w:line="240" w:lineRule="auto"/>
              <w:rPr>
                <w:b/>
              </w:rPr>
            </w:pPr>
          </w:p>
          <w:p w14:paraId="3EAD1178" w14:textId="77777777" w:rsidR="00236AD4" w:rsidRDefault="00236AD4" w:rsidP="00D52DCD">
            <w:pPr>
              <w:pStyle w:val="TabletextrowsAgency"/>
              <w:spacing w:line="240" w:lineRule="auto"/>
              <w:rPr>
                <w:b/>
              </w:rPr>
            </w:pPr>
          </w:p>
          <w:p w14:paraId="1083EF8E" w14:textId="77777777" w:rsidR="00236AD4" w:rsidRDefault="00236AD4" w:rsidP="00D52DCD">
            <w:pPr>
              <w:pStyle w:val="TabletextrowsAgency"/>
              <w:spacing w:line="240" w:lineRule="auto"/>
              <w:rPr>
                <w:b/>
              </w:rPr>
            </w:pPr>
          </w:p>
          <w:p w14:paraId="3089CE96" w14:textId="77777777" w:rsidR="00236AD4" w:rsidRDefault="00236AD4" w:rsidP="00D52DCD">
            <w:pPr>
              <w:pStyle w:val="TabletextrowsAgency"/>
              <w:spacing w:line="240" w:lineRule="auto"/>
              <w:rPr>
                <w:b/>
              </w:rPr>
            </w:pPr>
          </w:p>
          <w:p w14:paraId="31C72C95" w14:textId="77777777" w:rsidR="00236AD4" w:rsidRDefault="00236AD4" w:rsidP="00D52DCD">
            <w:pPr>
              <w:pStyle w:val="TabletextrowsAgency"/>
              <w:spacing w:line="240" w:lineRule="auto"/>
              <w:rPr>
                <w:b/>
              </w:rPr>
            </w:pPr>
          </w:p>
          <w:p w14:paraId="41060CAC" w14:textId="77777777" w:rsidR="00236AD4" w:rsidRDefault="00236AD4" w:rsidP="00D52DCD">
            <w:pPr>
              <w:pStyle w:val="TabletextrowsAgency"/>
              <w:spacing w:line="240" w:lineRule="auto"/>
              <w:rPr>
                <w:b/>
              </w:rPr>
            </w:pPr>
          </w:p>
          <w:p w14:paraId="2020F356" w14:textId="77777777" w:rsidR="00236AD4" w:rsidRDefault="00236AD4" w:rsidP="00D52DCD">
            <w:pPr>
              <w:pStyle w:val="TabletextrowsAgency"/>
              <w:spacing w:line="240" w:lineRule="auto"/>
              <w:rPr>
                <w:b/>
              </w:rPr>
            </w:pPr>
          </w:p>
          <w:p w14:paraId="2B23DD58" w14:textId="77777777" w:rsidR="00236AD4" w:rsidRDefault="00236AD4" w:rsidP="00D52DCD">
            <w:pPr>
              <w:pStyle w:val="TabletextrowsAgency"/>
              <w:spacing w:line="240" w:lineRule="auto"/>
              <w:rPr>
                <w:b/>
              </w:rPr>
            </w:pPr>
          </w:p>
          <w:p w14:paraId="19EF4E2A" w14:textId="77777777" w:rsidR="00236AD4" w:rsidRDefault="00236AD4" w:rsidP="00D52DCD">
            <w:pPr>
              <w:pStyle w:val="TabletextrowsAgency"/>
              <w:spacing w:line="240" w:lineRule="auto"/>
              <w:rPr>
                <w:b/>
              </w:rPr>
            </w:pPr>
          </w:p>
          <w:p w14:paraId="0C9668E5" w14:textId="77777777" w:rsidR="00236AD4" w:rsidRDefault="00236AD4" w:rsidP="00D52DCD">
            <w:pPr>
              <w:pStyle w:val="TabletextrowsAgency"/>
              <w:spacing w:line="240" w:lineRule="auto"/>
              <w:rPr>
                <w:b/>
              </w:rPr>
            </w:pPr>
          </w:p>
          <w:p w14:paraId="0142BF2F" w14:textId="77777777" w:rsidR="00236AD4" w:rsidRDefault="00236AD4" w:rsidP="00D52DCD">
            <w:pPr>
              <w:pStyle w:val="TabletextrowsAgency"/>
              <w:spacing w:line="240" w:lineRule="auto"/>
              <w:rPr>
                <w:b/>
              </w:rPr>
            </w:pPr>
          </w:p>
          <w:p w14:paraId="78AD2512" w14:textId="77777777" w:rsidR="00236AD4" w:rsidRDefault="00236AD4" w:rsidP="00D52DCD">
            <w:pPr>
              <w:pStyle w:val="TabletextrowsAgency"/>
              <w:spacing w:line="240" w:lineRule="auto"/>
              <w:rPr>
                <w:b/>
              </w:rPr>
            </w:pPr>
          </w:p>
          <w:p w14:paraId="257409D2" w14:textId="77777777" w:rsidR="00236AD4" w:rsidRDefault="00236AD4" w:rsidP="00D52DCD">
            <w:pPr>
              <w:pStyle w:val="TabletextrowsAgency"/>
              <w:spacing w:line="240" w:lineRule="auto"/>
              <w:rPr>
                <w:b/>
              </w:rPr>
            </w:pPr>
          </w:p>
          <w:p w14:paraId="6FA97A0E" w14:textId="77777777" w:rsidR="00236AD4" w:rsidRDefault="00236AD4" w:rsidP="00D52DCD">
            <w:pPr>
              <w:pStyle w:val="TabletextrowsAgency"/>
              <w:spacing w:line="240" w:lineRule="auto"/>
              <w:rPr>
                <w:b/>
              </w:rPr>
            </w:pPr>
          </w:p>
          <w:p w14:paraId="53BC50D6" w14:textId="77777777" w:rsidR="00236AD4" w:rsidRDefault="00236AD4" w:rsidP="00D52DCD">
            <w:pPr>
              <w:pStyle w:val="TabletextrowsAgency"/>
              <w:spacing w:line="240" w:lineRule="auto"/>
              <w:rPr>
                <w:b/>
              </w:rPr>
            </w:pPr>
          </w:p>
          <w:p w14:paraId="7A76155A" w14:textId="77777777" w:rsidR="00236AD4" w:rsidRDefault="00236AD4" w:rsidP="00D52DCD">
            <w:pPr>
              <w:pStyle w:val="TabletextrowsAgency"/>
              <w:spacing w:line="240" w:lineRule="auto"/>
              <w:rPr>
                <w:b/>
              </w:rPr>
            </w:pPr>
          </w:p>
          <w:p w14:paraId="1F1E2851" w14:textId="77777777" w:rsidR="00236AD4" w:rsidRDefault="00236AD4" w:rsidP="00D52DCD">
            <w:pPr>
              <w:pStyle w:val="TabletextrowsAgency"/>
              <w:spacing w:line="240" w:lineRule="auto"/>
              <w:rPr>
                <w:b/>
              </w:rPr>
            </w:pPr>
          </w:p>
          <w:p w14:paraId="62FD6066" w14:textId="77777777" w:rsidR="00236AD4" w:rsidRDefault="00236AD4" w:rsidP="00D52DCD">
            <w:pPr>
              <w:pStyle w:val="TabletextrowsAgency"/>
              <w:spacing w:line="240" w:lineRule="auto"/>
              <w:rPr>
                <w:b/>
              </w:rPr>
            </w:pPr>
          </w:p>
          <w:p w14:paraId="2D681301" w14:textId="77777777" w:rsidR="00236AD4" w:rsidRDefault="00236AD4" w:rsidP="00D52DCD">
            <w:pPr>
              <w:pStyle w:val="TabletextrowsAgency"/>
              <w:spacing w:line="240" w:lineRule="auto"/>
              <w:rPr>
                <w:b/>
              </w:rPr>
            </w:pPr>
          </w:p>
          <w:p w14:paraId="059FD22C" w14:textId="77777777" w:rsidR="00236AD4" w:rsidRDefault="00236AD4" w:rsidP="0096055E">
            <w:pPr>
              <w:pStyle w:val="TabletextrowsAgency"/>
              <w:spacing w:line="240" w:lineRule="auto"/>
              <w:rPr>
                <w:b/>
              </w:rPr>
            </w:pPr>
          </w:p>
          <w:p w14:paraId="5F4E8DAA" w14:textId="77777777" w:rsidR="00236AD4" w:rsidRDefault="00236AD4" w:rsidP="0096055E">
            <w:pPr>
              <w:pStyle w:val="TabletextrowsAgency"/>
              <w:spacing w:line="240" w:lineRule="auto"/>
              <w:rPr>
                <w:b/>
              </w:rPr>
            </w:pPr>
          </w:p>
          <w:p w14:paraId="639DAEFD" w14:textId="77777777" w:rsidR="00236AD4" w:rsidRDefault="00236AD4" w:rsidP="0096055E">
            <w:pPr>
              <w:pStyle w:val="TabletextrowsAgency"/>
              <w:spacing w:line="240" w:lineRule="auto"/>
              <w:rPr>
                <w:b/>
              </w:rPr>
            </w:pPr>
          </w:p>
          <w:p w14:paraId="334EFFE5" w14:textId="77777777" w:rsidR="00236AD4" w:rsidRDefault="00236AD4" w:rsidP="0096055E">
            <w:pPr>
              <w:pStyle w:val="TabletextrowsAgency"/>
              <w:spacing w:line="240" w:lineRule="auto"/>
              <w:rPr>
                <w:b/>
              </w:rPr>
            </w:pPr>
          </w:p>
          <w:p w14:paraId="78BBC1D0" w14:textId="77777777" w:rsidR="00236AD4" w:rsidRDefault="00236AD4" w:rsidP="0096055E">
            <w:pPr>
              <w:pStyle w:val="TabletextrowsAgency"/>
              <w:spacing w:line="240" w:lineRule="auto"/>
              <w:rPr>
                <w:b/>
              </w:rPr>
            </w:pPr>
          </w:p>
          <w:p w14:paraId="56074FA8" w14:textId="77777777" w:rsidR="00236AD4" w:rsidRDefault="00236AD4" w:rsidP="0096055E">
            <w:pPr>
              <w:pStyle w:val="TabletextrowsAgency"/>
              <w:spacing w:line="240" w:lineRule="auto"/>
              <w:rPr>
                <w:b/>
              </w:rPr>
            </w:pPr>
          </w:p>
          <w:p w14:paraId="7187CD0D" w14:textId="77777777" w:rsidR="00236AD4" w:rsidRDefault="00236AD4" w:rsidP="0096055E">
            <w:pPr>
              <w:pStyle w:val="TabletextrowsAgency"/>
              <w:spacing w:line="240" w:lineRule="auto"/>
              <w:rPr>
                <w:b/>
              </w:rPr>
            </w:pPr>
          </w:p>
          <w:p w14:paraId="7C6A041F" w14:textId="529743C2" w:rsidR="00236AD4" w:rsidRPr="00D52DCD" w:rsidRDefault="00236AD4" w:rsidP="0096055E">
            <w:pPr>
              <w:pStyle w:val="TabletextrowsAgency"/>
              <w:spacing w:line="240" w:lineRule="auto"/>
              <w:rPr>
                <w:b/>
              </w:rPr>
            </w:pPr>
          </w:p>
        </w:tc>
        <w:tc>
          <w:tcPr>
            <w:tcW w:w="2006" w:type="pct"/>
            <w:shd w:val="clear" w:color="auto" w:fill="E1E3F2"/>
          </w:tcPr>
          <w:p w14:paraId="0A2D089C" w14:textId="77777777" w:rsidR="00236AD4" w:rsidRPr="00BF23BE" w:rsidRDefault="00236AD4" w:rsidP="0096055E">
            <w:pPr>
              <w:rPr>
                <w:bCs/>
              </w:rPr>
            </w:pPr>
            <w:r w:rsidRPr="00780A6E">
              <w:rPr>
                <w:b/>
                <w:bCs/>
              </w:rPr>
              <w:t xml:space="preserve">Comment:  </w:t>
            </w:r>
            <w:r w:rsidRPr="00BF23BE">
              <w:rPr>
                <w:bCs/>
              </w:rPr>
              <w:t xml:space="preserve">We do not agree with the recommendation that the primary endpoint of an induction study should be steroid free remission.  </w:t>
            </w:r>
          </w:p>
          <w:p w14:paraId="7CB01013" w14:textId="77777777" w:rsidR="00236AD4" w:rsidRPr="00BF23BE" w:rsidRDefault="00236AD4" w:rsidP="0096055E">
            <w:pPr>
              <w:rPr>
                <w:bCs/>
              </w:rPr>
            </w:pPr>
            <w:r w:rsidRPr="00BF23BE">
              <w:rPr>
                <w:bCs/>
              </w:rPr>
              <w:t xml:space="preserve"> </w:t>
            </w:r>
          </w:p>
          <w:p w14:paraId="0965AD14" w14:textId="77777777" w:rsidR="00236AD4" w:rsidRPr="00BF23BE" w:rsidRDefault="00236AD4" w:rsidP="0096055E">
            <w:pPr>
              <w:rPr>
                <w:bCs/>
              </w:rPr>
            </w:pPr>
            <w:r w:rsidRPr="00BF23BE">
              <w:rPr>
                <w:bCs/>
              </w:rPr>
              <w:t>The reasons to maintain stable corticosteroid doses during the induction period include the following:</w:t>
            </w:r>
          </w:p>
          <w:p w14:paraId="1CAD9BA1" w14:textId="77777777" w:rsidR="00236AD4" w:rsidRPr="00BF23BE" w:rsidRDefault="00236AD4" w:rsidP="0096055E">
            <w:pPr>
              <w:rPr>
                <w:bCs/>
              </w:rPr>
            </w:pPr>
            <w:r w:rsidRPr="00BF23BE">
              <w:rPr>
                <w:bCs/>
              </w:rPr>
              <w:t xml:space="preserve">There would be insufficient time to taper corticosteroids prior to the primary endpoint assessment using the type of tapering schedule generally applied in UC clinical trials.  </w:t>
            </w:r>
          </w:p>
          <w:p w14:paraId="4B382E47" w14:textId="77777777" w:rsidR="00236AD4" w:rsidRPr="00BF23BE" w:rsidRDefault="00236AD4" w:rsidP="0096055E">
            <w:pPr>
              <w:rPr>
                <w:bCs/>
              </w:rPr>
            </w:pPr>
            <w:r w:rsidRPr="00BF23BE">
              <w:rPr>
                <w:bCs/>
              </w:rPr>
              <w:t xml:space="preserve">A rapid corticosteroid taper prior to the primary endpoint assessment may precipitate clinical flares that would impact patient well-being and could present challenges to the interpretation of the treatment effect during the induction period.   Specifically, a rapid taper of corticosteroids during the induction period could confound the assessment of efficacy in the setting of additional medication changes. </w:t>
            </w:r>
          </w:p>
          <w:p w14:paraId="45543BE0" w14:textId="77777777" w:rsidR="00236AD4" w:rsidRPr="00BF23BE" w:rsidRDefault="00236AD4" w:rsidP="0096055E">
            <w:pPr>
              <w:rPr>
                <w:bCs/>
              </w:rPr>
            </w:pPr>
            <w:r w:rsidRPr="00BF23BE">
              <w:rPr>
                <w:bCs/>
              </w:rPr>
              <w:t xml:space="preserve"> </w:t>
            </w:r>
          </w:p>
          <w:p w14:paraId="4B89D14C" w14:textId="77777777" w:rsidR="00236AD4" w:rsidRPr="00BF23BE" w:rsidRDefault="00236AD4" w:rsidP="0096055E">
            <w:pPr>
              <w:rPr>
                <w:bCs/>
              </w:rPr>
            </w:pPr>
            <w:r w:rsidRPr="00BF23BE">
              <w:rPr>
                <w:bCs/>
              </w:rPr>
              <w:t xml:space="preserve">Furthermore, a rapid steroid taper may introduce an imbalance in efficacy in the Placebo </w:t>
            </w:r>
            <w:proofErr w:type="spellStart"/>
            <w:r w:rsidRPr="00BF23BE">
              <w:rPr>
                <w:bCs/>
              </w:rPr>
              <w:t>vs</w:t>
            </w:r>
            <w:proofErr w:type="spellEnd"/>
            <w:r w:rsidRPr="00BF23BE">
              <w:rPr>
                <w:bCs/>
              </w:rPr>
              <w:t xml:space="preserve"> active treatment group that could result in lower efficacy in the PBO group and would confound assessment of efficacy.   </w:t>
            </w:r>
          </w:p>
          <w:p w14:paraId="012F310C" w14:textId="77777777" w:rsidR="00236AD4" w:rsidRPr="00BF23BE" w:rsidRDefault="00236AD4" w:rsidP="0096055E">
            <w:pPr>
              <w:rPr>
                <w:rFonts w:eastAsia="Verdana"/>
                <w:bCs/>
              </w:rPr>
            </w:pPr>
            <w:r w:rsidRPr="00BF23BE">
              <w:rPr>
                <w:rFonts w:eastAsia="Verdana"/>
                <w:bCs/>
              </w:rPr>
              <w:t xml:space="preserve"> </w:t>
            </w:r>
          </w:p>
          <w:p w14:paraId="0A794412" w14:textId="77777777" w:rsidR="00236AD4" w:rsidRPr="00BF23BE" w:rsidRDefault="00236AD4" w:rsidP="0096055E">
            <w:pPr>
              <w:rPr>
                <w:bCs/>
              </w:rPr>
            </w:pPr>
            <w:r w:rsidRPr="00BF23BE">
              <w:rPr>
                <w:bCs/>
              </w:rPr>
              <w:t xml:space="preserve">Withdrawal of corticosteroids prior to the induction primary endpoint could also lower the number of patients that may be ultimately eligible for the maintenance study. </w:t>
            </w:r>
          </w:p>
          <w:p w14:paraId="69352E8B" w14:textId="77777777" w:rsidR="00236AD4" w:rsidRPr="00BF23BE" w:rsidRDefault="00236AD4" w:rsidP="0096055E">
            <w:pPr>
              <w:rPr>
                <w:rFonts w:eastAsia="Verdana"/>
                <w:bCs/>
              </w:rPr>
            </w:pPr>
            <w:r w:rsidRPr="00BF23BE">
              <w:rPr>
                <w:rFonts w:eastAsia="Verdana"/>
                <w:bCs/>
              </w:rPr>
              <w:t xml:space="preserve"> </w:t>
            </w:r>
          </w:p>
          <w:p w14:paraId="38478531" w14:textId="77777777" w:rsidR="00236AD4" w:rsidRPr="00BF23BE" w:rsidRDefault="00236AD4" w:rsidP="0096055E">
            <w:pPr>
              <w:rPr>
                <w:bCs/>
              </w:rPr>
            </w:pPr>
            <w:r w:rsidRPr="00BF23BE">
              <w:rPr>
                <w:bCs/>
              </w:rPr>
              <w:t xml:space="preserve">In some UC clinical trials, corticosteroid tapering is mandatory in clinical responders using defined criteria over a longer time period during the maintenance period. </w:t>
            </w:r>
          </w:p>
          <w:p w14:paraId="2ACD802B" w14:textId="77777777" w:rsidR="00236AD4" w:rsidRPr="00BF23BE" w:rsidRDefault="00236AD4" w:rsidP="0096055E">
            <w:pPr>
              <w:rPr>
                <w:bCs/>
              </w:rPr>
            </w:pPr>
            <w:r w:rsidRPr="00BF23BE">
              <w:rPr>
                <w:bCs/>
              </w:rPr>
              <w:t xml:space="preserve"> </w:t>
            </w:r>
          </w:p>
          <w:p w14:paraId="28BAC385" w14:textId="77777777" w:rsidR="00236AD4" w:rsidRPr="00BF23BE" w:rsidRDefault="00236AD4" w:rsidP="0096055E">
            <w:pPr>
              <w:rPr>
                <w:bCs/>
              </w:rPr>
            </w:pPr>
            <w:r w:rsidRPr="00BF23BE">
              <w:rPr>
                <w:bCs/>
              </w:rPr>
              <w:t xml:space="preserve">Subgroup analyses of induction and maintenance UC trials demonstrated that patient steroid status at study entry did not influence the ability to achieve response or maintain response. These results support the conclusion that meaningful information can be obtained with steroid tapering initiated during maintenance treatment to demonstrate the benefit of the active study treatment vs. Placebo for achieving and maintaining clinical remission. </w:t>
            </w:r>
          </w:p>
          <w:p w14:paraId="1FEB8D40" w14:textId="77777777" w:rsidR="00236AD4" w:rsidRDefault="00236AD4" w:rsidP="0096055E">
            <w:pPr>
              <w:rPr>
                <w:b/>
                <w:bCs/>
              </w:rPr>
            </w:pPr>
          </w:p>
          <w:p w14:paraId="2A96921D" w14:textId="77777777" w:rsidR="00236AD4" w:rsidRDefault="00236AD4" w:rsidP="0096055E">
            <w:pPr>
              <w:pStyle w:val="TabletextrowsAgency"/>
              <w:spacing w:line="240" w:lineRule="auto"/>
              <w:rPr>
                <w:bCs/>
              </w:rPr>
            </w:pPr>
            <w:r>
              <w:rPr>
                <w:b/>
                <w:bCs/>
              </w:rPr>
              <w:t xml:space="preserve">Proposed change: </w:t>
            </w:r>
            <w:r w:rsidRPr="00BF23BE">
              <w:rPr>
                <w:bCs/>
              </w:rPr>
              <w:t>Delete reference to steroid taper during induction.</w:t>
            </w:r>
          </w:p>
          <w:p w14:paraId="6D702F69" w14:textId="77777777" w:rsidR="00236AD4" w:rsidRDefault="00236AD4" w:rsidP="0096055E">
            <w:pPr>
              <w:pStyle w:val="TabletextrowsAgency"/>
              <w:spacing w:line="240" w:lineRule="auto"/>
              <w:rPr>
                <w:bCs/>
              </w:rPr>
            </w:pPr>
          </w:p>
          <w:p w14:paraId="03D7B6ED" w14:textId="77777777" w:rsidR="00236AD4" w:rsidRDefault="00236AD4" w:rsidP="0096055E">
            <w:pPr>
              <w:pStyle w:val="TabletextrowsAgency"/>
              <w:spacing w:line="240" w:lineRule="auto"/>
              <w:rPr>
                <w:bCs/>
              </w:rPr>
            </w:pPr>
          </w:p>
          <w:p w14:paraId="0591453E" w14:textId="77777777" w:rsidR="00236AD4" w:rsidRDefault="00236AD4" w:rsidP="0096055E">
            <w:pPr>
              <w:pStyle w:val="TabletextrowsAgency"/>
              <w:spacing w:line="240" w:lineRule="auto"/>
              <w:rPr>
                <w:bCs/>
                <w:sz w:val="8"/>
                <w:szCs w:val="8"/>
              </w:rPr>
            </w:pPr>
          </w:p>
          <w:p w14:paraId="311A1645" w14:textId="77777777" w:rsidR="00236AD4" w:rsidRDefault="00236AD4" w:rsidP="0096055E">
            <w:pPr>
              <w:pStyle w:val="TabletextrowsAgency"/>
              <w:spacing w:line="240" w:lineRule="auto"/>
              <w:rPr>
                <w:bCs/>
                <w:sz w:val="8"/>
                <w:szCs w:val="8"/>
              </w:rPr>
            </w:pPr>
          </w:p>
          <w:p w14:paraId="50D51820" w14:textId="77777777" w:rsidR="00236AD4" w:rsidRDefault="00236AD4" w:rsidP="0096055E">
            <w:pPr>
              <w:pStyle w:val="TabletextrowsAgency"/>
              <w:spacing w:line="240" w:lineRule="auto"/>
              <w:rPr>
                <w:bCs/>
                <w:sz w:val="8"/>
                <w:szCs w:val="8"/>
              </w:rPr>
            </w:pPr>
          </w:p>
          <w:p w14:paraId="1A0B7345" w14:textId="77777777" w:rsidR="00236AD4" w:rsidRDefault="00236AD4" w:rsidP="0096055E">
            <w:pPr>
              <w:pStyle w:val="TabletextrowsAgency"/>
              <w:spacing w:line="240" w:lineRule="auto"/>
              <w:rPr>
                <w:bCs/>
                <w:sz w:val="2"/>
                <w:szCs w:val="2"/>
              </w:rPr>
            </w:pPr>
          </w:p>
          <w:p w14:paraId="4451EA45" w14:textId="77777777" w:rsidR="00236AD4" w:rsidRDefault="00236AD4" w:rsidP="0096055E">
            <w:pPr>
              <w:pStyle w:val="TabletextrowsAgency"/>
              <w:spacing w:line="240" w:lineRule="auto"/>
              <w:rPr>
                <w:bCs/>
                <w:sz w:val="2"/>
                <w:szCs w:val="2"/>
              </w:rPr>
            </w:pPr>
          </w:p>
          <w:p w14:paraId="1595287E" w14:textId="77777777" w:rsidR="00236AD4" w:rsidRPr="003D469D" w:rsidRDefault="00236AD4" w:rsidP="0096055E">
            <w:pPr>
              <w:pStyle w:val="TabletextrowsAgency"/>
              <w:spacing w:line="240" w:lineRule="auto"/>
              <w:rPr>
                <w:bCs/>
                <w:sz w:val="2"/>
                <w:szCs w:val="2"/>
              </w:rPr>
            </w:pPr>
          </w:p>
          <w:p w14:paraId="163F31EF" w14:textId="77777777" w:rsidR="00236AD4" w:rsidRDefault="00236AD4" w:rsidP="0096055E">
            <w:pPr>
              <w:pStyle w:val="TabletextrowsAgency"/>
              <w:spacing w:line="240" w:lineRule="auto"/>
            </w:pPr>
            <w:r>
              <w:t>Mandatory steroid tapers during induction periods of short duration introduce the potential for provoking severe flares in patient who are already ill.  Please allow sponsors the ability to keep steroids stable during induction studies.  It is understood that labelling would reflect the study design.  This sentence adds to the confusion about whether steroid-free remission is an expected primary endpoint or there is the option for it to be a secondary endpoint.</w:t>
            </w:r>
          </w:p>
          <w:p w14:paraId="116B4E3B" w14:textId="77777777" w:rsidR="00236AD4" w:rsidRDefault="00236AD4" w:rsidP="0096055E">
            <w:pPr>
              <w:pStyle w:val="TabletextrowsAgency"/>
              <w:spacing w:line="240" w:lineRule="auto"/>
            </w:pPr>
          </w:p>
          <w:p w14:paraId="5CA4EDF2" w14:textId="77777777" w:rsidR="00236AD4" w:rsidRDefault="00236AD4" w:rsidP="0096055E">
            <w:pPr>
              <w:pStyle w:val="TabletextrowsAgency"/>
              <w:spacing w:line="240" w:lineRule="auto"/>
              <w:rPr>
                <w:b/>
                <w:bCs/>
              </w:rPr>
            </w:pPr>
            <w:r>
              <w:t>Here the document again suggests that the primary endpoint should be steroid-free remission, which is inconsistent with some earlier statements in the document and it is not clear which co-primary endoscopic endpoint is acceptable.</w:t>
            </w:r>
          </w:p>
        </w:tc>
        <w:tc>
          <w:tcPr>
            <w:tcW w:w="1537" w:type="pct"/>
            <w:shd w:val="clear" w:color="auto" w:fill="E1E3F2"/>
          </w:tcPr>
          <w:p w14:paraId="3E4945D0" w14:textId="77777777" w:rsidR="00236AD4" w:rsidRPr="0076509A" w:rsidRDefault="00236AD4" w:rsidP="002E0488">
            <w:pPr>
              <w:pStyle w:val="TabletextrowsAgency"/>
              <w:rPr>
                <w:b/>
                <w:color w:val="0000FF"/>
              </w:rPr>
            </w:pPr>
          </w:p>
        </w:tc>
      </w:tr>
      <w:tr w:rsidR="00236AD4" w14:paraId="0D4C7A08" w14:textId="77777777">
        <w:tc>
          <w:tcPr>
            <w:tcW w:w="645" w:type="pct"/>
            <w:shd w:val="clear" w:color="auto" w:fill="E1E3F2"/>
          </w:tcPr>
          <w:p w14:paraId="7F052B6E" w14:textId="77777777" w:rsidR="00236AD4" w:rsidRDefault="00236AD4" w:rsidP="00A4724A">
            <w:pPr>
              <w:pStyle w:val="TabletextrowsAgency"/>
              <w:spacing w:line="240" w:lineRule="auto"/>
            </w:pPr>
            <w:r>
              <w:t>286-292</w:t>
            </w:r>
          </w:p>
        </w:tc>
        <w:tc>
          <w:tcPr>
            <w:tcW w:w="812" w:type="pct"/>
            <w:shd w:val="clear" w:color="auto" w:fill="E1E3F2"/>
          </w:tcPr>
          <w:p w14:paraId="04600E21" w14:textId="100F51C8" w:rsidR="00236AD4" w:rsidRDefault="00236AD4" w:rsidP="00A4724A">
            <w:pPr>
              <w:pStyle w:val="TabletextrowsAgency"/>
              <w:spacing w:line="240" w:lineRule="auto"/>
            </w:pPr>
          </w:p>
        </w:tc>
        <w:tc>
          <w:tcPr>
            <w:tcW w:w="2006" w:type="pct"/>
            <w:shd w:val="clear" w:color="auto" w:fill="E1E3F2"/>
          </w:tcPr>
          <w:p w14:paraId="740AC281" w14:textId="77777777" w:rsidR="00236AD4" w:rsidRDefault="00236AD4" w:rsidP="00A4724A">
            <w:pPr>
              <w:pStyle w:val="TabletextrowsAgency"/>
              <w:spacing w:line="240" w:lineRule="auto"/>
            </w:pPr>
            <w:r>
              <w:t>In active comparator studies with a placebo, please clarify which comparison is expected to support approval—versus placebo?  Or the active comparator?</w:t>
            </w:r>
          </w:p>
        </w:tc>
        <w:tc>
          <w:tcPr>
            <w:tcW w:w="1537" w:type="pct"/>
            <w:shd w:val="clear" w:color="auto" w:fill="E1E3F2"/>
          </w:tcPr>
          <w:p w14:paraId="5BD4C9BF" w14:textId="77777777" w:rsidR="00236AD4" w:rsidRPr="00354B43" w:rsidRDefault="00236AD4">
            <w:pPr>
              <w:pStyle w:val="TabletextrowsAgency"/>
              <w:rPr>
                <w:b/>
              </w:rPr>
            </w:pPr>
          </w:p>
        </w:tc>
      </w:tr>
      <w:tr w:rsidR="00236AD4" w14:paraId="7E727342" w14:textId="77777777">
        <w:tc>
          <w:tcPr>
            <w:tcW w:w="645" w:type="pct"/>
            <w:shd w:val="clear" w:color="auto" w:fill="E1E3F2"/>
          </w:tcPr>
          <w:p w14:paraId="49F24FFC" w14:textId="77777777" w:rsidR="00236AD4" w:rsidRPr="00672BF8" w:rsidRDefault="00236AD4" w:rsidP="00A4724A">
            <w:pPr>
              <w:pStyle w:val="DraftingNotesAgency"/>
              <w:spacing w:line="240" w:lineRule="auto"/>
              <w:rPr>
                <w:rFonts w:ascii="Verdana" w:hAnsi="Verdana"/>
                <w:i w:val="0"/>
                <w:color w:val="auto"/>
                <w:sz w:val="18"/>
              </w:rPr>
            </w:pPr>
            <w:r>
              <w:rPr>
                <w:rFonts w:ascii="Verdana" w:hAnsi="Verdana"/>
                <w:i w:val="0"/>
                <w:color w:val="auto"/>
                <w:sz w:val="18"/>
              </w:rPr>
              <w:t>318-</w:t>
            </w:r>
            <w:r w:rsidRPr="00672BF8">
              <w:rPr>
                <w:rFonts w:ascii="Verdana" w:hAnsi="Verdana"/>
                <w:i w:val="0"/>
                <w:color w:val="auto"/>
                <w:sz w:val="18"/>
              </w:rPr>
              <w:t>319</w:t>
            </w:r>
          </w:p>
        </w:tc>
        <w:tc>
          <w:tcPr>
            <w:tcW w:w="812" w:type="pct"/>
            <w:shd w:val="clear" w:color="auto" w:fill="E1E3F2"/>
          </w:tcPr>
          <w:p w14:paraId="6FF35088" w14:textId="36C11323" w:rsidR="00236AD4" w:rsidRPr="00672BF8" w:rsidRDefault="00236AD4" w:rsidP="00A4724A">
            <w:pPr>
              <w:pStyle w:val="DraftingNotesAgency"/>
              <w:spacing w:line="240" w:lineRule="auto"/>
              <w:rPr>
                <w:rFonts w:ascii="Verdana" w:hAnsi="Verdana"/>
                <w:i w:val="0"/>
                <w:color w:val="auto"/>
                <w:sz w:val="18"/>
                <w:highlight w:val="lightGray"/>
              </w:rPr>
            </w:pPr>
          </w:p>
        </w:tc>
        <w:tc>
          <w:tcPr>
            <w:tcW w:w="2006" w:type="pct"/>
            <w:shd w:val="clear" w:color="auto" w:fill="E1E3F2"/>
          </w:tcPr>
          <w:p w14:paraId="64657760" w14:textId="77777777" w:rsidR="00236AD4" w:rsidRPr="00672BF8" w:rsidRDefault="00236AD4" w:rsidP="00A4724A">
            <w:pPr>
              <w:pStyle w:val="TabletextrowsAgency"/>
              <w:spacing w:line="240" w:lineRule="auto"/>
            </w:pPr>
            <w:r w:rsidRPr="00672BF8">
              <w:t xml:space="preserve">Formal comparisons to active comparators are logistically not very feasible in a pivotal trial exploring various dose regimens as well as a placebo for proper safety evaluation; thus should not be a requirement for regulatory approval; informal “reference” arms with an active comparator are prone to </w:t>
            </w:r>
            <w:proofErr w:type="spellStart"/>
            <w:r w:rsidRPr="00672BF8">
              <w:t>alfa</w:t>
            </w:r>
            <w:proofErr w:type="spellEnd"/>
            <w:r w:rsidRPr="00672BF8">
              <w:t xml:space="preserve"> and beta errors and may rather cause confusion, unless strong superiority is expected for the IMP and should not be requested.</w:t>
            </w:r>
          </w:p>
          <w:p w14:paraId="23A19563" w14:textId="77777777" w:rsidR="00236AD4" w:rsidRPr="00672BF8" w:rsidRDefault="00236AD4" w:rsidP="00A4724A">
            <w:pPr>
              <w:pStyle w:val="TabletextrowsAgency"/>
              <w:spacing w:line="240" w:lineRule="auto"/>
            </w:pPr>
            <w:r w:rsidRPr="00672BF8">
              <w:t>Add-on of IMPs to TNF inhibitors may be difficult to justify ethically due to safety concerns and would not allow proper safety evaluation for compounds with improved safety profile over TNF antagonists</w:t>
            </w:r>
          </w:p>
        </w:tc>
        <w:tc>
          <w:tcPr>
            <w:tcW w:w="1537" w:type="pct"/>
            <w:shd w:val="clear" w:color="auto" w:fill="E1E3F2"/>
          </w:tcPr>
          <w:p w14:paraId="08ECC5F1" w14:textId="77777777" w:rsidR="00236AD4" w:rsidRPr="00B02408" w:rsidRDefault="00236AD4">
            <w:pPr>
              <w:pStyle w:val="TabletextrowsAgency"/>
              <w:rPr>
                <w:b/>
                <w:color w:val="0000FF"/>
              </w:rPr>
            </w:pPr>
          </w:p>
        </w:tc>
      </w:tr>
      <w:tr w:rsidR="00236AD4" w14:paraId="60DFF5F7" w14:textId="77777777">
        <w:tc>
          <w:tcPr>
            <w:tcW w:w="645" w:type="pct"/>
            <w:shd w:val="clear" w:color="auto" w:fill="E1E3F2"/>
          </w:tcPr>
          <w:p w14:paraId="07BC9A79" w14:textId="77777777" w:rsidR="00236AD4" w:rsidRDefault="00236AD4" w:rsidP="00D52DCD">
            <w:pPr>
              <w:pStyle w:val="TabletextrowsAgency"/>
              <w:spacing w:line="240" w:lineRule="auto"/>
            </w:pPr>
            <w:r>
              <w:t>324-326</w:t>
            </w:r>
          </w:p>
        </w:tc>
        <w:tc>
          <w:tcPr>
            <w:tcW w:w="812" w:type="pct"/>
            <w:shd w:val="clear" w:color="auto" w:fill="E1E3F2"/>
          </w:tcPr>
          <w:p w14:paraId="697ED238" w14:textId="2808095F" w:rsidR="00236AD4" w:rsidRPr="00D52DCD" w:rsidRDefault="00236AD4" w:rsidP="00D52DCD">
            <w:pPr>
              <w:pStyle w:val="TabletextrowsAgency"/>
              <w:spacing w:line="240" w:lineRule="auto"/>
              <w:rPr>
                <w:b/>
              </w:rPr>
            </w:pPr>
          </w:p>
        </w:tc>
        <w:tc>
          <w:tcPr>
            <w:tcW w:w="2006" w:type="pct"/>
            <w:shd w:val="clear" w:color="auto" w:fill="E1E3F2"/>
          </w:tcPr>
          <w:p w14:paraId="4153AC60" w14:textId="77777777" w:rsidR="00236AD4" w:rsidRDefault="00236AD4" w:rsidP="00D52DCD">
            <w:pPr>
              <w:pStyle w:val="TabletextrowsAgency"/>
              <w:spacing w:line="240" w:lineRule="auto"/>
            </w:pPr>
            <w:r w:rsidRPr="00BF23BE">
              <w:rPr>
                <w:b/>
                <w:bCs/>
              </w:rPr>
              <w:t>Comment</w:t>
            </w:r>
            <w:r w:rsidRPr="00BF23BE">
              <w:rPr>
                <w:b/>
              </w:rPr>
              <w:t>:</w:t>
            </w:r>
            <w:r>
              <w:t xml:space="preserve"> In maintenance of remission trials, recommend that patient who are presently on the test drug should be re-randomized to continue the test drug or switch to placebo.  These are patients who were failing their standard of care drugs and thus entered the trial; were induced, went into remission, and now are entering the maintenance phase.  Is it ethical to re-randomize these patients to placebo in a waxing-waning chronic disease that is never cured without colectomy and that is known to recur off medication?</w:t>
            </w:r>
          </w:p>
        </w:tc>
        <w:tc>
          <w:tcPr>
            <w:tcW w:w="1537" w:type="pct"/>
            <w:shd w:val="clear" w:color="auto" w:fill="E1E3F2"/>
          </w:tcPr>
          <w:p w14:paraId="4208A648" w14:textId="77777777" w:rsidR="00236AD4" w:rsidRPr="00B02408" w:rsidRDefault="00236AD4">
            <w:pPr>
              <w:pStyle w:val="TabletextrowsAgency"/>
              <w:rPr>
                <w:b/>
                <w:color w:val="0000FF"/>
              </w:rPr>
            </w:pPr>
          </w:p>
        </w:tc>
      </w:tr>
      <w:tr w:rsidR="00236AD4" w14:paraId="48BB8540" w14:textId="77777777">
        <w:tc>
          <w:tcPr>
            <w:tcW w:w="645" w:type="pct"/>
            <w:shd w:val="clear" w:color="auto" w:fill="E1E3F2"/>
          </w:tcPr>
          <w:p w14:paraId="0AEBEE75" w14:textId="77777777" w:rsidR="00236AD4" w:rsidRDefault="00236AD4" w:rsidP="00D52DCD">
            <w:pPr>
              <w:pStyle w:val="TabletextrowsAgency"/>
              <w:spacing w:line="240" w:lineRule="auto"/>
            </w:pPr>
            <w:r>
              <w:t>335</w:t>
            </w:r>
          </w:p>
        </w:tc>
        <w:tc>
          <w:tcPr>
            <w:tcW w:w="812" w:type="pct"/>
            <w:shd w:val="clear" w:color="auto" w:fill="E1E3F2"/>
          </w:tcPr>
          <w:p w14:paraId="1827BD4C" w14:textId="575C4B51" w:rsidR="00236AD4" w:rsidRDefault="00236AD4" w:rsidP="00D52DCD">
            <w:pPr>
              <w:pStyle w:val="TabletextrowsAgency"/>
              <w:spacing w:line="240" w:lineRule="auto"/>
            </w:pPr>
          </w:p>
        </w:tc>
        <w:tc>
          <w:tcPr>
            <w:tcW w:w="2006" w:type="pct"/>
            <w:shd w:val="clear" w:color="auto" w:fill="E1E3F2"/>
          </w:tcPr>
          <w:p w14:paraId="4795C854" w14:textId="77777777" w:rsidR="00236AD4" w:rsidRPr="00780A6E" w:rsidRDefault="00236AD4" w:rsidP="006C1452">
            <w:pPr>
              <w:rPr>
                <w:b/>
                <w:bCs/>
              </w:rPr>
            </w:pPr>
            <w:r w:rsidRPr="00780A6E">
              <w:rPr>
                <w:b/>
                <w:bCs/>
              </w:rPr>
              <w:t xml:space="preserve">Comment:  </w:t>
            </w:r>
            <w:r w:rsidRPr="00BF23BE">
              <w:rPr>
                <w:bCs/>
              </w:rPr>
              <w:t>The guidance states that “Patients who are steroid free remission (as defined above) are eligible for inclusion into the trials".  As indicated in the response to line 284 of the guidance above, we have concern regarding the tapering of steroids during a 6-8 week induction study &amp; therefore, this concern carries over to the definition of the target population for maintenance studies.  We advocate for the target population of a maintenance study to include patients who achieve a pre-specified measure of clinical response as this represents the broadest population of patients to be treated in the clinical setting.  Among these patients will be those achieving clinical remission both on and off steroids who can then be the target populations for major secondary analyses for maintenance of clinical remission and steroid-free remission with appropriate statistical controls.</w:t>
            </w:r>
          </w:p>
          <w:p w14:paraId="58330F70" w14:textId="77777777" w:rsidR="00236AD4" w:rsidRPr="00780A6E" w:rsidRDefault="00236AD4" w:rsidP="006C1452">
            <w:pPr>
              <w:rPr>
                <w:b/>
                <w:bCs/>
              </w:rPr>
            </w:pPr>
          </w:p>
          <w:p w14:paraId="39E41C1F" w14:textId="77777777" w:rsidR="00236AD4" w:rsidRDefault="00236AD4" w:rsidP="006C1452">
            <w:pPr>
              <w:pStyle w:val="TabletextrowsAgency"/>
              <w:spacing w:line="240" w:lineRule="auto"/>
              <w:rPr>
                <w:b/>
                <w:bCs/>
              </w:rPr>
            </w:pPr>
            <w:r w:rsidRPr="00780A6E">
              <w:rPr>
                <w:b/>
                <w:bCs/>
              </w:rPr>
              <w:t xml:space="preserve">Proposed change:  </w:t>
            </w:r>
            <w:r w:rsidRPr="00BF23BE">
              <w:rPr>
                <w:bCs/>
              </w:rPr>
              <w:t>Acknowledge that patients in clinical response are an appropriate primary target population for the assessment of maintenance therapy.</w:t>
            </w:r>
          </w:p>
        </w:tc>
        <w:tc>
          <w:tcPr>
            <w:tcW w:w="1537" w:type="pct"/>
            <w:shd w:val="clear" w:color="auto" w:fill="E1E3F2"/>
          </w:tcPr>
          <w:p w14:paraId="7F17A255" w14:textId="77777777" w:rsidR="00236AD4" w:rsidRPr="00B02408" w:rsidRDefault="00236AD4">
            <w:pPr>
              <w:pStyle w:val="TabletextrowsAgency"/>
              <w:rPr>
                <w:b/>
                <w:color w:val="0000FF"/>
              </w:rPr>
            </w:pPr>
          </w:p>
        </w:tc>
      </w:tr>
      <w:tr w:rsidR="00236AD4" w14:paraId="32CEE315" w14:textId="77777777">
        <w:tc>
          <w:tcPr>
            <w:tcW w:w="645" w:type="pct"/>
            <w:shd w:val="clear" w:color="auto" w:fill="E1E3F2"/>
          </w:tcPr>
          <w:p w14:paraId="5CF3B127" w14:textId="77777777" w:rsidR="00236AD4" w:rsidRDefault="00236AD4" w:rsidP="006D5958">
            <w:pPr>
              <w:pStyle w:val="TabletextrowsAgency"/>
              <w:spacing w:line="240" w:lineRule="auto"/>
            </w:pPr>
            <w:r>
              <w:t>335-339</w:t>
            </w:r>
          </w:p>
        </w:tc>
        <w:tc>
          <w:tcPr>
            <w:tcW w:w="812" w:type="pct"/>
            <w:shd w:val="clear" w:color="auto" w:fill="E1E3F2"/>
          </w:tcPr>
          <w:p w14:paraId="0BE01B42" w14:textId="0AC2390C" w:rsidR="00236AD4" w:rsidRDefault="00236AD4" w:rsidP="006D5958">
            <w:pPr>
              <w:pStyle w:val="TabletextrowsAgency"/>
              <w:spacing w:line="240" w:lineRule="auto"/>
            </w:pPr>
          </w:p>
        </w:tc>
        <w:tc>
          <w:tcPr>
            <w:tcW w:w="2006" w:type="pct"/>
            <w:shd w:val="clear" w:color="auto" w:fill="E1E3F2"/>
          </w:tcPr>
          <w:p w14:paraId="2F8270A5" w14:textId="77777777" w:rsidR="00236AD4" w:rsidRDefault="00236AD4" w:rsidP="006D5958">
            <w:pPr>
              <w:pStyle w:val="TabletextrowsAgency"/>
              <w:spacing w:line="240" w:lineRule="auto"/>
            </w:pPr>
            <w:r>
              <w:t xml:space="preserve">Requirement for inclusion into maintenance trials of only patients who are steroid-free is problematic, as 8-12 week induction trials may not be sufficient in duration to wean all subjects completely off steroids. Furthermore, continuation of treatment in patients only who have reached a stringent endpoint of remission, steroid discontinuation AND mucosal healing is not consistent with the clinical paradigm of treating patients with at least a partial PRO and/or endoscopic response to induction treatment.  This requirement will also have a large impact on the side of induction trials needed in order to identify adequate numbers of subjects for maintenance trials.  </w:t>
            </w:r>
          </w:p>
        </w:tc>
        <w:tc>
          <w:tcPr>
            <w:tcW w:w="1537" w:type="pct"/>
            <w:shd w:val="clear" w:color="auto" w:fill="E1E3F2"/>
          </w:tcPr>
          <w:p w14:paraId="3A28303A" w14:textId="77777777" w:rsidR="00236AD4" w:rsidRPr="00B02408" w:rsidRDefault="00236AD4" w:rsidP="006D5958">
            <w:pPr>
              <w:pStyle w:val="TabletextrowsAgency"/>
              <w:rPr>
                <w:b/>
                <w:color w:val="0000FF"/>
              </w:rPr>
            </w:pPr>
          </w:p>
        </w:tc>
      </w:tr>
      <w:tr w:rsidR="00236AD4" w14:paraId="60341B8A" w14:textId="77777777">
        <w:tc>
          <w:tcPr>
            <w:tcW w:w="645" w:type="pct"/>
            <w:shd w:val="clear" w:color="auto" w:fill="E1E3F2"/>
          </w:tcPr>
          <w:p w14:paraId="45EA7771" w14:textId="77777777" w:rsidR="00236AD4" w:rsidRDefault="00236AD4" w:rsidP="006D5958">
            <w:pPr>
              <w:pStyle w:val="TabletextrowsAgency"/>
              <w:spacing w:line="240" w:lineRule="auto"/>
            </w:pPr>
            <w:r>
              <w:t>335, 340</w:t>
            </w:r>
          </w:p>
        </w:tc>
        <w:tc>
          <w:tcPr>
            <w:tcW w:w="812" w:type="pct"/>
            <w:shd w:val="clear" w:color="auto" w:fill="E1E3F2"/>
          </w:tcPr>
          <w:p w14:paraId="4EF50995" w14:textId="581333EF" w:rsidR="00236AD4" w:rsidRPr="00974F16" w:rsidRDefault="00236AD4" w:rsidP="006D5958">
            <w:pPr>
              <w:pStyle w:val="TabletextrowsAgency"/>
              <w:spacing w:line="240" w:lineRule="auto"/>
              <w:rPr>
                <w:b/>
              </w:rPr>
            </w:pPr>
          </w:p>
        </w:tc>
        <w:tc>
          <w:tcPr>
            <w:tcW w:w="2006" w:type="pct"/>
            <w:shd w:val="clear" w:color="auto" w:fill="E1E3F2"/>
          </w:tcPr>
          <w:p w14:paraId="297D89AC" w14:textId="77777777" w:rsidR="00236AD4" w:rsidRDefault="00236AD4" w:rsidP="006D5958">
            <w:pPr>
              <w:pStyle w:val="TabletextrowsAgency"/>
              <w:spacing w:line="240" w:lineRule="auto"/>
            </w:pPr>
            <w:r w:rsidRPr="00BF23BE">
              <w:rPr>
                <w:b/>
              </w:rPr>
              <w:t>Comment:</w:t>
            </w:r>
            <w:r>
              <w:t xml:space="preserve">  Only patients who are in steroid-free remission are eligible for inclusion into the maintenance phase.  This is not a technically achievable outcome at the end of induction, as patients who enter the induction period on corticosteroids will most likely remain on steroids for the duration of this period and have </w:t>
            </w:r>
            <w:proofErr w:type="spellStart"/>
            <w:r>
              <w:t>protocolized</w:t>
            </w:r>
            <w:proofErr w:type="spellEnd"/>
            <w:r>
              <w:t xml:space="preserve"> weaning when they enter maintenance.  </w:t>
            </w:r>
          </w:p>
          <w:p w14:paraId="50175E94" w14:textId="77777777" w:rsidR="00236AD4" w:rsidRDefault="00236AD4" w:rsidP="006D5958">
            <w:pPr>
              <w:pStyle w:val="TabletextrowsAgency"/>
              <w:spacing w:line="240" w:lineRule="auto"/>
            </w:pPr>
          </w:p>
          <w:p w14:paraId="2B943E77" w14:textId="77777777" w:rsidR="00236AD4" w:rsidRDefault="00236AD4" w:rsidP="006D5958">
            <w:pPr>
              <w:pStyle w:val="TabletextrowsAgency"/>
              <w:spacing w:line="240" w:lineRule="auto"/>
            </w:pPr>
            <w:r>
              <w:t>Only patients in remission should enter maintenance.  This is highly restrictive and would result in unfeasibly large induction studies.  Including patients with a clinical response into maintenance studies reflects real-world clinical practice and allows sponsors to address important, clinically relevant questions, such as determining the proportion of responders who enter remission.</w:t>
            </w:r>
          </w:p>
          <w:p w14:paraId="712D27E1" w14:textId="77777777" w:rsidR="00236AD4" w:rsidRDefault="00236AD4" w:rsidP="006D5958">
            <w:pPr>
              <w:pStyle w:val="TabletextrowsAgency"/>
              <w:spacing w:line="240" w:lineRule="auto"/>
            </w:pPr>
          </w:p>
          <w:p w14:paraId="6C5FDBF8" w14:textId="77777777" w:rsidR="00236AD4" w:rsidRDefault="00236AD4" w:rsidP="006D5958">
            <w:pPr>
              <w:pStyle w:val="TabletextrowsAgency"/>
              <w:spacing w:line="240" w:lineRule="auto"/>
            </w:pPr>
            <w:r>
              <w:t xml:space="preserve">Sponsors should also be encouraged to allow non-responders to continue on active medication in limited circumstances where the sponsor predicts that subjects are likely to have a “late response” to the study drug, e.g. </w:t>
            </w:r>
            <w:proofErr w:type="spellStart"/>
            <w:r>
              <w:t>Ustekinumab’s</w:t>
            </w:r>
            <w:proofErr w:type="spellEnd"/>
            <w:r>
              <w:t xml:space="preserve"> UNITI phase 3 studies in </w:t>
            </w:r>
            <w:proofErr w:type="spellStart"/>
            <w:r>
              <w:t>Crohn’s</w:t>
            </w:r>
            <w:proofErr w:type="spellEnd"/>
            <w:r>
              <w:t xml:space="preserve"> disease.</w:t>
            </w:r>
          </w:p>
          <w:p w14:paraId="3486B567" w14:textId="77777777" w:rsidR="00236AD4" w:rsidRDefault="00236AD4" w:rsidP="006D5958">
            <w:pPr>
              <w:pStyle w:val="TabletextrowsAgency"/>
              <w:spacing w:line="240" w:lineRule="auto"/>
            </w:pPr>
          </w:p>
          <w:p w14:paraId="2EE9F115" w14:textId="77777777" w:rsidR="00236AD4" w:rsidRDefault="00236AD4" w:rsidP="006D5958">
            <w:pPr>
              <w:pStyle w:val="TabletextrowsAgency"/>
              <w:spacing w:line="240" w:lineRule="auto"/>
            </w:pPr>
            <w:r>
              <w:t>A proposal is to allow patients with symptomatic response to be included in the maintenance study with a stratification factor of remitter and responders. The primary endpoint of this maintenance study would be based on both responders and remitters.  Subgroup analyses would be provided to show consistency between subgroups.</w:t>
            </w:r>
          </w:p>
          <w:p w14:paraId="5FD2831A" w14:textId="77777777" w:rsidR="00236AD4" w:rsidRDefault="00236AD4" w:rsidP="006D5958">
            <w:pPr>
              <w:pStyle w:val="TabletextrowsAgency"/>
              <w:spacing w:line="240" w:lineRule="auto"/>
            </w:pPr>
          </w:p>
          <w:p w14:paraId="29FC596F" w14:textId="77777777" w:rsidR="00236AD4" w:rsidRDefault="00236AD4" w:rsidP="006D5958">
            <w:pPr>
              <w:pStyle w:val="TabletextrowsAgency"/>
              <w:spacing w:line="240" w:lineRule="auto"/>
            </w:pPr>
          </w:p>
          <w:p w14:paraId="50FFBAC2" w14:textId="77777777" w:rsidR="00236AD4" w:rsidRDefault="00236AD4" w:rsidP="006D5958">
            <w:pPr>
              <w:pStyle w:val="TabletextrowsAgency"/>
              <w:spacing w:line="240" w:lineRule="auto"/>
            </w:pPr>
            <w:r w:rsidRPr="00BF23BE">
              <w:rPr>
                <w:b/>
              </w:rPr>
              <w:t>Proposed change (if any):</w:t>
            </w:r>
            <w:r>
              <w:t xml:space="preserve"> Consider changing these lines to reflect that patients in clinical response should be allowed to enter maintenance studies.</w:t>
            </w:r>
          </w:p>
        </w:tc>
        <w:tc>
          <w:tcPr>
            <w:tcW w:w="1537" w:type="pct"/>
            <w:shd w:val="clear" w:color="auto" w:fill="E1E3F2"/>
          </w:tcPr>
          <w:p w14:paraId="7DAC9098" w14:textId="77777777" w:rsidR="00236AD4" w:rsidRPr="00B02408" w:rsidRDefault="00236AD4" w:rsidP="006D5958">
            <w:pPr>
              <w:pStyle w:val="TabletextrowsAgency"/>
              <w:rPr>
                <w:b/>
                <w:color w:val="0000FF"/>
              </w:rPr>
            </w:pPr>
          </w:p>
        </w:tc>
      </w:tr>
      <w:tr w:rsidR="00236AD4" w14:paraId="08483DC3" w14:textId="77777777">
        <w:tc>
          <w:tcPr>
            <w:tcW w:w="645" w:type="pct"/>
            <w:shd w:val="clear" w:color="auto" w:fill="E1E3F2"/>
          </w:tcPr>
          <w:p w14:paraId="4A1174F1" w14:textId="77777777" w:rsidR="00236AD4" w:rsidRDefault="00236AD4" w:rsidP="00D52DCD">
            <w:pPr>
              <w:pStyle w:val="TabletextrowsAgency"/>
              <w:spacing w:line="240" w:lineRule="auto"/>
            </w:pPr>
            <w:r>
              <w:t>340-353</w:t>
            </w:r>
          </w:p>
        </w:tc>
        <w:tc>
          <w:tcPr>
            <w:tcW w:w="812" w:type="pct"/>
            <w:shd w:val="clear" w:color="auto" w:fill="E1E3F2"/>
          </w:tcPr>
          <w:p w14:paraId="1AC02C67" w14:textId="73BC48F7" w:rsidR="00236AD4" w:rsidRPr="00D52DCD" w:rsidRDefault="00236AD4" w:rsidP="00D52DCD">
            <w:pPr>
              <w:pStyle w:val="TabletextrowsAgency"/>
              <w:spacing w:line="240" w:lineRule="auto"/>
              <w:rPr>
                <w:b/>
                <w:highlight w:val="cyan"/>
              </w:rPr>
            </w:pPr>
          </w:p>
        </w:tc>
        <w:tc>
          <w:tcPr>
            <w:tcW w:w="2006" w:type="pct"/>
            <w:shd w:val="clear" w:color="auto" w:fill="E1E3F2"/>
          </w:tcPr>
          <w:p w14:paraId="59741FA4" w14:textId="77777777" w:rsidR="00236AD4" w:rsidRDefault="00236AD4" w:rsidP="00BF23BE">
            <w:pPr>
              <w:pStyle w:val="NormalWeb"/>
              <w:rPr>
                <w:rFonts w:ascii="Verdana" w:eastAsia="Verdana,Calibri" w:hAnsi="Verdana" w:cs="Verdana,Calibri"/>
                <w:bCs/>
                <w:sz w:val="18"/>
                <w:szCs w:val="18"/>
              </w:rPr>
            </w:pPr>
            <w:r w:rsidRPr="00BF23BE">
              <w:rPr>
                <w:rFonts w:ascii="Verdana" w:eastAsia="Verdana,Calibri" w:hAnsi="Verdana" w:cs="Verdana,Calibri"/>
                <w:b/>
                <w:bCs/>
                <w:sz w:val="18"/>
                <w:szCs w:val="18"/>
              </w:rPr>
              <w:t>Comment:</w:t>
            </w:r>
            <w:r>
              <w:rPr>
                <w:rFonts w:ascii="Verdana" w:eastAsia="Verdana,Calibri" w:hAnsi="Verdana" w:cs="Verdana,Calibri"/>
                <w:bCs/>
                <w:sz w:val="18"/>
                <w:szCs w:val="18"/>
              </w:rPr>
              <w:t xml:space="preserve">  Also refer to comments in response to Lines 136-141.</w:t>
            </w:r>
          </w:p>
          <w:p w14:paraId="56EEC792" w14:textId="77777777" w:rsidR="00236AD4" w:rsidRDefault="00236AD4" w:rsidP="008F7B6C">
            <w:pPr>
              <w:pStyle w:val="NormalWeb"/>
              <w:spacing w:line="280" w:lineRule="exact"/>
              <w:rPr>
                <w:rFonts w:ascii="Verdana" w:eastAsia="Verdana,Calibri" w:hAnsi="Verdana" w:cs="Verdana,Calibri"/>
                <w:bCs/>
                <w:sz w:val="18"/>
                <w:szCs w:val="18"/>
              </w:rPr>
            </w:pPr>
          </w:p>
          <w:p w14:paraId="216B0295" w14:textId="77777777" w:rsidR="00236AD4" w:rsidRDefault="00236AD4" w:rsidP="00BF23BE">
            <w:pPr>
              <w:pStyle w:val="NormalWeb"/>
              <w:rPr>
                <w:rFonts w:ascii="Verdana" w:eastAsia="Verdana,Calibri" w:hAnsi="Verdana" w:cs="Verdana,Calibri"/>
                <w:bCs/>
                <w:sz w:val="18"/>
                <w:szCs w:val="18"/>
              </w:rPr>
            </w:pPr>
            <w:r>
              <w:rPr>
                <w:rFonts w:ascii="Verdana" w:eastAsia="Verdana,Calibri" w:hAnsi="Verdana" w:cs="Verdana,Calibri"/>
                <w:bCs/>
                <w:sz w:val="18"/>
                <w:szCs w:val="18"/>
              </w:rPr>
              <w:t>The notion that true maintenance of efficacy can only be demonstrated in the context of a randomized-withdrawal study (vs. placebo) or only among induction responders/remitters is concerning.  As discussed in an earlier section, the arbitrary designation of induction and maintenance study periods limits one’s ability to evaluate the true efficacy potential of a MOA; and is highly inconsistent vs. clinical practice.</w:t>
            </w:r>
          </w:p>
          <w:p w14:paraId="214EE01A" w14:textId="77777777" w:rsidR="00236AD4" w:rsidRDefault="00236AD4" w:rsidP="008F7B6C">
            <w:pPr>
              <w:pStyle w:val="NormalWeb"/>
              <w:spacing w:line="280" w:lineRule="exact"/>
              <w:rPr>
                <w:rFonts w:ascii="Verdana" w:eastAsia="Verdana,Calibri" w:hAnsi="Verdana" w:cs="Verdana,Calibri"/>
                <w:bCs/>
                <w:sz w:val="18"/>
                <w:szCs w:val="18"/>
              </w:rPr>
            </w:pPr>
          </w:p>
          <w:p w14:paraId="69F81458" w14:textId="77777777" w:rsidR="00236AD4" w:rsidRDefault="00236AD4" w:rsidP="00BF23BE">
            <w:pPr>
              <w:pStyle w:val="NormalWeb"/>
              <w:rPr>
                <w:rFonts w:ascii="Verdana" w:eastAsia="Verdana,Calibri" w:hAnsi="Verdana" w:cs="Verdana,Calibri"/>
                <w:bCs/>
                <w:sz w:val="18"/>
                <w:szCs w:val="18"/>
              </w:rPr>
            </w:pPr>
            <w:r>
              <w:rPr>
                <w:rFonts w:ascii="Verdana" w:eastAsia="Verdana,Calibri" w:hAnsi="Verdana" w:cs="Verdana,Calibri"/>
                <w:bCs/>
                <w:sz w:val="18"/>
                <w:szCs w:val="18"/>
              </w:rPr>
              <w:t>The maintenance of efficacy among “induction responders” only provides insights into the continued benefit observed among patients who achieved an initial response/remission within an arbitrarily set “early” timeframe, but ignores the rest of the population treated.  Whereas, the holistic approach under a treat-through study design, will support the evaluation of long-term efficacy at a population level, including both early and late responders to initial (induction) treatment and their response to continued long-term treatment (maintenance), and will also support the desired “maintenance of remission among induction remitters” analysis.</w:t>
            </w:r>
          </w:p>
          <w:p w14:paraId="6D315812" w14:textId="77777777" w:rsidR="00236AD4" w:rsidRDefault="00236AD4" w:rsidP="008F7B6C">
            <w:pPr>
              <w:pStyle w:val="NormalWeb"/>
              <w:spacing w:line="280" w:lineRule="exact"/>
              <w:rPr>
                <w:rFonts w:ascii="Verdana" w:eastAsia="Verdana,Calibri" w:hAnsi="Verdana" w:cs="Verdana,Calibri"/>
                <w:bCs/>
                <w:sz w:val="18"/>
                <w:szCs w:val="18"/>
              </w:rPr>
            </w:pPr>
          </w:p>
          <w:p w14:paraId="190C9E28" w14:textId="77777777" w:rsidR="00236AD4" w:rsidRDefault="00236AD4" w:rsidP="00BF23BE">
            <w:pPr>
              <w:pStyle w:val="NormalWeb"/>
              <w:rPr>
                <w:rFonts w:ascii="Verdana" w:eastAsia="Verdana,Calibri" w:hAnsi="Verdana" w:cs="Verdana,Calibri"/>
                <w:bCs/>
                <w:sz w:val="18"/>
                <w:szCs w:val="18"/>
              </w:rPr>
            </w:pPr>
            <w:r>
              <w:rPr>
                <w:rFonts w:ascii="Verdana" w:eastAsia="Verdana,Calibri" w:hAnsi="Verdana" w:cs="Verdana,Calibri"/>
                <w:bCs/>
                <w:sz w:val="18"/>
                <w:szCs w:val="18"/>
              </w:rPr>
              <w:t>In addition, evaluation of endoscopic/ histologic endpoints would be significantly challenged in the setting of a randomized-withdrawal (to placebo) study, since the kinetics of disease worsening (upon discontinuation of treatment) by these outcomes measures are unknown. A treat-through study design is much more favourable and preferred for the evaluation of these important outcomes.</w:t>
            </w:r>
          </w:p>
          <w:p w14:paraId="141C2280" w14:textId="77777777" w:rsidR="00236AD4" w:rsidRDefault="00236AD4" w:rsidP="008F7B6C">
            <w:pPr>
              <w:pStyle w:val="NormalWeb"/>
              <w:spacing w:line="280" w:lineRule="exact"/>
              <w:rPr>
                <w:rFonts w:ascii="Verdana" w:eastAsia="Verdana,Calibri" w:hAnsi="Verdana" w:cs="Verdana,Calibri"/>
                <w:bCs/>
                <w:sz w:val="18"/>
                <w:szCs w:val="18"/>
              </w:rPr>
            </w:pPr>
          </w:p>
          <w:p w14:paraId="1664444C" w14:textId="77777777" w:rsidR="00236AD4" w:rsidRPr="002A6F40" w:rsidRDefault="00236AD4" w:rsidP="00BF23BE">
            <w:pPr>
              <w:pStyle w:val="NormalWeb"/>
              <w:rPr>
                <w:rFonts w:ascii="Verdana" w:eastAsia="Verdana,Calibri" w:hAnsi="Verdana" w:cs="Verdana,Calibri"/>
                <w:sz w:val="18"/>
                <w:szCs w:val="18"/>
              </w:rPr>
            </w:pPr>
            <w:r>
              <w:rPr>
                <w:rFonts w:ascii="Verdana" w:eastAsia="Verdana,Calibri" w:hAnsi="Verdana" w:cs="Verdana,Calibri"/>
                <w:sz w:val="18"/>
                <w:szCs w:val="18"/>
              </w:rPr>
              <w:t>It should be noted that comparison to standard of care comparators (e.g. anti-TNF) using this methodology incurs substantial complexity. We believe comparison to SOC in both induction and in maintenance phases of treatment as part of the confirmation study is best accomplished using a treat through methodology.</w:t>
            </w:r>
          </w:p>
          <w:p w14:paraId="1F9CC924" w14:textId="77777777" w:rsidR="00236AD4" w:rsidRDefault="00236AD4" w:rsidP="008F7B6C">
            <w:pPr>
              <w:pStyle w:val="NormalWeb"/>
              <w:spacing w:line="280" w:lineRule="exact"/>
              <w:rPr>
                <w:rFonts w:ascii="Verdana" w:eastAsia="Verdana,Calibri" w:hAnsi="Verdana" w:cs="Verdana,Calibri"/>
                <w:bCs/>
                <w:sz w:val="18"/>
                <w:szCs w:val="18"/>
              </w:rPr>
            </w:pPr>
          </w:p>
          <w:p w14:paraId="5CDD2006" w14:textId="77777777" w:rsidR="00236AD4" w:rsidRPr="009B1042" w:rsidRDefault="00236AD4" w:rsidP="00BF23BE">
            <w:pPr>
              <w:pStyle w:val="NormalWeb"/>
              <w:rPr>
                <w:rFonts w:ascii="Verdana" w:eastAsia="Verdana,Calibri" w:hAnsi="Verdana" w:cs="Verdana,Calibri"/>
                <w:bCs/>
                <w:sz w:val="18"/>
                <w:szCs w:val="18"/>
              </w:rPr>
            </w:pPr>
            <w:r>
              <w:rPr>
                <w:rFonts w:ascii="Verdana" w:eastAsia="Verdana,Calibri" w:hAnsi="Verdana" w:cs="Verdana,Calibri"/>
                <w:bCs/>
                <w:sz w:val="18"/>
                <w:szCs w:val="18"/>
              </w:rPr>
              <w:t xml:space="preserve">Finally, the validity or requirement of a randomized withdrawal (to placebo) design to demonstrate the need for maintenance treatment in patients with UC should be questioned.  After 20 years and numerous trials across different MOAs, there is no evidence that patients with UC can be successfully managed without active maintenance treatment.  All of the randomized withdrawal studies of biologic agents have demonstrated the need for continued maintenance treatment.  It should also be noted that randomized withdrawal placebo studies are inconsistent with clinical practice and is a design feature that is a significant deterrent to patient recruitment. </w:t>
            </w:r>
          </w:p>
        </w:tc>
        <w:tc>
          <w:tcPr>
            <w:tcW w:w="1537" w:type="pct"/>
            <w:shd w:val="clear" w:color="auto" w:fill="E1E3F2"/>
          </w:tcPr>
          <w:p w14:paraId="2A227DFE" w14:textId="77777777" w:rsidR="00236AD4" w:rsidRPr="0096055E" w:rsidRDefault="00236AD4" w:rsidP="00392931">
            <w:pPr>
              <w:pStyle w:val="TabletextrowsAgency"/>
              <w:rPr>
                <w:b/>
                <w:color w:val="76923C" w:themeColor="accent3" w:themeShade="BF"/>
              </w:rPr>
            </w:pPr>
          </w:p>
        </w:tc>
      </w:tr>
      <w:tr w:rsidR="00236AD4" w14:paraId="1C14956D" w14:textId="77777777">
        <w:tc>
          <w:tcPr>
            <w:tcW w:w="645" w:type="pct"/>
            <w:shd w:val="clear" w:color="auto" w:fill="E1E3F2"/>
          </w:tcPr>
          <w:p w14:paraId="56761610" w14:textId="77777777" w:rsidR="00236AD4" w:rsidRDefault="00236AD4" w:rsidP="00D52DCD">
            <w:pPr>
              <w:pStyle w:val="TabletextrowsAgency"/>
              <w:spacing w:line="240" w:lineRule="auto"/>
            </w:pPr>
            <w:r>
              <w:t>355-356</w:t>
            </w:r>
          </w:p>
        </w:tc>
        <w:tc>
          <w:tcPr>
            <w:tcW w:w="812" w:type="pct"/>
            <w:shd w:val="clear" w:color="auto" w:fill="E1E3F2"/>
          </w:tcPr>
          <w:p w14:paraId="0B3954CF" w14:textId="19481036" w:rsidR="00236AD4" w:rsidRDefault="00236AD4" w:rsidP="00D52DCD">
            <w:pPr>
              <w:pStyle w:val="TabletextrowsAgency"/>
              <w:spacing w:line="240" w:lineRule="auto"/>
            </w:pPr>
          </w:p>
        </w:tc>
        <w:tc>
          <w:tcPr>
            <w:tcW w:w="2006" w:type="pct"/>
            <w:shd w:val="clear" w:color="auto" w:fill="E1E3F2"/>
          </w:tcPr>
          <w:p w14:paraId="31773961" w14:textId="77777777" w:rsidR="00236AD4" w:rsidRDefault="00236AD4" w:rsidP="00D52DCD">
            <w:r w:rsidRPr="28F67FB4">
              <w:rPr>
                <w:b/>
                <w:bCs/>
              </w:rPr>
              <w:t xml:space="preserve">Comment: </w:t>
            </w:r>
            <w:r w:rsidRPr="28F67FB4">
              <w:t xml:space="preserve"> The guidance recommends that the primary endpoint of maintenance studies should be steroid-free remission maintained without surgery. </w:t>
            </w:r>
            <w:r>
              <w:t xml:space="preserve">In </w:t>
            </w:r>
            <w:r w:rsidRPr="28F67FB4">
              <w:t>clinical trial</w:t>
            </w:r>
            <w:r>
              <w:t>s</w:t>
            </w:r>
            <w:r w:rsidRPr="28F67FB4">
              <w:t xml:space="preserve"> colectomy is considered one of potentially several poss</w:t>
            </w:r>
            <w:r>
              <w:t xml:space="preserve">ible </w:t>
            </w:r>
            <w:r w:rsidRPr="28F67FB4">
              <w:t>treatment failures in the analysis of efficacy; therefore study patients who achieve or maintain remission at the end of study have not undergone colectomy.</w:t>
            </w:r>
            <w:r>
              <w:t xml:space="preserve"> Further, pursuant to comments related to line 335 above, we believe that clinical remission among subjects induced into clinical response represents the broadest evaluation of maintenance therapy and should be the primary endpoint of a maintenance study.   Pre-specified major secondary endpoints of maintenance of clinical remission and steroid-free remission based on appropriate subgroups would provide additional important measures of the effectiveness of a maintenance therapy.</w:t>
            </w:r>
          </w:p>
          <w:p w14:paraId="45E11036" w14:textId="77777777" w:rsidR="00236AD4" w:rsidRDefault="00236AD4" w:rsidP="00D52DCD"/>
          <w:p w14:paraId="6637B684" w14:textId="77777777" w:rsidR="00236AD4" w:rsidRDefault="00236AD4" w:rsidP="00D52DCD">
            <w:r w:rsidRPr="2C25EAEF">
              <w:t>Furthermore there has been a generally low incidence  in some UC populations, including an unselected UC population in Europe (</w:t>
            </w:r>
            <w:proofErr w:type="spellStart"/>
            <w:r w:rsidRPr="2C25EAEF">
              <w:t>Hoie</w:t>
            </w:r>
            <w:proofErr w:type="spellEnd"/>
            <w:r w:rsidRPr="2C25EAEF">
              <w:t xml:space="preserve"> O, eta l (2007) Gastroenterology 132:507-515) as well as what was observed in the ACT studies of infliximab (</w:t>
            </w:r>
            <w:proofErr w:type="spellStart"/>
            <w:r w:rsidRPr="2C25EAEF">
              <w:t>Sandborn</w:t>
            </w:r>
            <w:proofErr w:type="spellEnd"/>
            <w:r w:rsidRPr="2C25EAEF">
              <w:t xml:space="preserve"> WJ (2009) Gastroenterology. 137:</w:t>
            </w:r>
            <w:r>
              <w:t xml:space="preserve">1250-1260) that the </w:t>
            </w:r>
            <w:r w:rsidRPr="2C25EAEF">
              <w:t xml:space="preserve">incidence of surgery is relatively low of a 1 year period. Therefore, it </w:t>
            </w:r>
            <w:r w:rsidRPr="2C25EAEF">
              <w:rPr>
                <w:rFonts w:eastAsia="Verdana"/>
              </w:rPr>
              <w:t>would be a chall</w:t>
            </w:r>
            <w:r>
              <w:rPr>
                <w:rFonts w:eastAsia="Verdana"/>
              </w:rPr>
              <w:t>enge to power a clinical study for a</w:t>
            </w:r>
            <w:r w:rsidRPr="2C25EAEF">
              <w:rPr>
                <w:rFonts w:eastAsia="Verdana"/>
              </w:rPr>
              <w:t xml:space="preserve"> </w:t>
            </w:r>
            <w:r w:rsidRPr="2C25EAEF">
              <w:t xml:space="preserve">steroid free remission endpoint that includes the absence of surgery. </w:t>
            </w:r>
          </w:p>
          <w:p w14:paraId="0261CA10" w14:textId="77777777" w:rsidR="00236AD4" w:rsidRDefault="00236AD4" w:rsidP="00D52DCD"/>
          <w:p w14:paraId="7C916EB2" w14:textId="77777777" w:rsidR="00236AD4" w:rsidRDefault="00236AD4" w:rsidP="00D52DCD">
            <w:r w:rsidRPr="00BF23BE">
              <w:rPr>
                <w:b/>
              </w:rPr>
              <w:t>Proposed change:</w:t>
            </w:r>
            <w:r>
              <w:t xml:space="preserve">  Update recommendation on the primary endpoint to clinical remission among subjects responding to induction treatment with major </w:t>
            </w:r>
            <w:proofErr w:type="spellStart"/>
            <w:r>
              <w:t>secondaries</w:t>
            </w:r>
            <w:proofErr w:type="spellEnd"/>
            <w:r>
              <w:t xml:space="preserve"> focused on the subgroups of subjects who maintain clinical remission or achieve steroid-free remission during maintenance therapy.</w:t>
            </w:r>
          </w:p>
        </w:tc>
        <w:tc>
          <w:tcPr>
            <w:tcW w:w="1537" w:type="pct"/>
            <w:shd w:val="clear" w:color="auto" w:fill="E1E3F2"/>
          </w:tcPr>
          <w:p w14:paraId="7250AD48" w14:textId="77777777" w:rsidR="00236AD4" w:rsidRPr="00F5143F" w:rsidRDefault="00236AD4" w:rsidP="00D90E36">
            <w:pPr>
              <w:pStyle w:val="TabletextrowsAgency"/>
              <w:rPr>
                <w:b/>
                <w:color w:val="0000FF"/>
              </w:rPr>
            </w:pPr>
          </w:p>
        </w:tc>
      </w:tr>
      <w:tr w:rsidR="00236AD4" w14:paraId="554AFC19" w14:textId="77777777">
        <w:tc>
          <w:tcPr>
            <w:tcW w:w="645" w:type="pct"/>
            <w:shd w:val="clear" w:color="auto" w:fill="E1E3F2"/>
          </w:tcPr>
          <w:p w14:paraId="5CB52A39" w14:textId="77777777" w:rsidR="00236AD4" w:rsidRPr="00672BF8" w:rsidRDefault="00236AD4" w:rsidP="00A4724A">
            <w:pPr>
              <w:pStyle w:val="DraftingNotesAgency"/>
              <w:spacing w:line="240" w:lineRule="auto"/>
              <w:rPr>
                <w:rFonts w:ascii="Verdana" w:hAnsi="Verdana"/>
                <w:i w:val="0"/>
                <w:color w:val="auto"/>
                <w:sz w:val="18"/>
              </w:rPr>
            </w:pPr>
            <w:r w:rsidRPr="00672BF8">
              <w:rPr>
                <w:rFonts w:ascii="Verdana" w:hAnsi="Verdana"/>
                <w:i w:val="0"/>
                <w:color w:val="auto"/>
                <w:sz w:val="18"/>
              </w:rPr>
              <w:t>355</w:t>
            </w:r>
          </w:p>
        </w:tc>
        <w:tc>
          <w:tcPr>
            <w:tcW w:w="812" w:type="pct"/>
            <w:shd w:val="clear" w:color="auto" w:fill="E1E3F2"/>
          </w:tcPr>
          <w:p w14:paraId="2D21AC51" w14:textId="7CA2B16B" w:rsidR="00236AD4" w:rsidRPr="00672BF8" w:rsidRDefault="00236AD4" w:rsidP="00A4724A">
            <w:pPr>
              <w:pStyle w:val="DraftingNotesAgency"/>
              <w:spacing w:line="240" w:lineRule="auto"/>
              <w:rPr>
                <w:rFonts w:ascii="Verdana" w:hAnsi="Verdana"/>
                <w:i w:val="0"/>
                <w:color w:val="auto"/>
                <w:sz w:val="18"/>
                <w:highlight w:val="lightGray"/>
              </w:rPr>
            </w:pPr>
          </w:p>
        </w:tc>
        <w:tc>
          <w:tcPr>
            <w:tcW w:w="2006" w:type="pct"/>
            <w:shd w:val="clear" w:color="auto" w:fill="E1E3F2"/>
          </w:tcPr>
          <w:p w14:paraId="7FDC7092" w14:textId="77777777" w:rsidR="00236AD4" w:rsidRPr="00672BF8" w:rsidRDefault="00236AD4" w:rsidP="00A4724A">
            <w:pPr>
              <w:pStyle w:val="TabletextrowsAgency"/>
              <w:spacing w:line="240" w:lineRule="auto"/>
            </w:pPr>
            <w:r w:rsidRPr="00672BF8">
              <w:t>Different primary EP then recommended before (lines</w:t>
            </w:r>
            <w:r>
              <w:t xml:space="preserve"> </w:t>
            </w:r>
            <w:r w:rsidRPr="00672BF8">
              <w:t>175, 284); also the 1yr-surgery rate is too low to see a significant reduction in a typical trial population and setting</w:t>
            </w:r>
          </w:p>
        </w:tc>
        <w:tc>
          <w:tcPr>
            <w:tcW w:w="1537" w:type="pct"/>
            <w:shd w:val="clear" w:color="auto" w:fill="E1E3F2"/>
          </w:tcPr>
          <w:p w14:paraId="46D78660" w14:textId="77777777" w:rsidR="00236AD4" w:rsidRPr="00CE2851" w:rsidRDefault="00236AD4">
            <w:pPr>
              <w:pStyle w:val="TabletextrowsAgency"/>
              <w:rPr>
                <w:b/>
                <w:color w:val="E36C0A" w:themeColor="accent6" w:themeShade="BF"/>
              </w:rPr>
            </w:pPr>
          </w:p>
        </w:tc>
      </w:tr>
      <w:tr w:rsidR="00236AD4" w14:paraId="742446B7" w14:textId="77777777">
        <w:tc>
          <w:tcPr>
            <w:tcW w:w="645" w:type="pct"/>
            <w:shd w:val="clear" w:color="auto" w:fill="E1E3F2"/>
          </w:tcPr>
          <w:p w14:paraId="38B62226" w14:textId="77777777" w:rsidR="00236AD4" w:rsidRDefault="00236AD4" w:rsidP="00A4724A">
            <w:pPr>
              <w:pStyle w:val="TabletextrowsAgency"/>
              <w:spacing w:line="240" w:lineRule="auto"/>
            </w:pPr>
            <w:r>
              <w:t>370-372</w:t>
            </w:r>
          </w:p>
        </w:tc>
        <w:tc>
          <w:tcPr>
            <w:tcW w:w="812" w:type="pct"/>
            <w:shd w:val="clear" w:color="auto" w:fill="E1E3F2"/>
          </w:tcPr>
          <w:p w14:paraId="3E48E831" w14:textId="087D52DB" w:rsidR="00236AD4" w:rsidRDefault="00236AD4" w:rsidP="00A4724A">
            <w:pPr>
              <w:pStyle w:val="TabletextrowsAgency"/>
              <w:spacing w:line="240" w:lineRule="auto"/>
            </w:pPr>
          </w:p>
        </w:tc>
        <w:tc>
          <w:tcPr>
            <w:tcW w:w="2006" w:type="pct"/>
            <w:shd w:val="clear" w:color="auto" w:fill="E1E3F2"/>
          </w:tcPr>
          <w:p w14:paraId="0E007838" w14:textId="77777777" w:rsidR="00236AD4" w:rsidRDefault="00236AD4" w:rsidP="00A4724A">
            <w:pPr>
              <w:pStyle w:val="TabletextrowsAgency"/>
              <w:spacing w:line="240" w:lineRule="auto"/>
            </w:pPr>
            <w:r>
              <w:t xml:space="preserve">Please provide guidance how a maintenance trial is to be done for comparators that </w:t>
            </w:r>
            <w:proofErr w:type="gramStart"/>
            <w:r>
              <w:t>are indicated only to be continued</w:t>
            </w:r>
            <w:proofErr w:type="gramEnd"/>
            <w:r>
              <w:t xml:space="preserve"> in induction responders (i.e., anti-TNF agents).  Parallel group designs are problematic in that, per label, patients without response to the anti-TNF agent (or integrin inhibitor) are not to continue the drug. This could lead to differential drop outs between arms that, as the document has already indicated, are methodologically problematic.  On the other hand, it seems inappropriate to take patients who responded to one drug and randomize them to a different agent for the purposes of testing “maintenance.”  Much more guidance is needed here, as sponsors are really struggling with these questions.  </w:t>
            </w:r>
          </w:p>
        </w:tc>
        <w:tc>
          <w:tcPr>
            <w:tcW w:w="1537" w:type="pct"/>
            <w:shd w:val="clear" w:color="auto" w:fill="E1E3F2"/>
          </w:tcPr>
          <w:p w14:paraId="4310BCB5" w14:textId="77777777" w:rsidR="00236AD4" w:rsidRPr="00F5143F" w:rsidRDefault="00236AD4" w:rsidP="00F5143F">
            <w:pPr>
              <w:pStyle w:val="TabletextrowsAgency"/>
              <w:rPr>
                <w:b/>
                <w:color w:val="0000FF"/>
              </w:rPr>
            </w:pPr>
          </w:p>
        </w:tc>
      </w:tr>
      <w:tr w:rsidR="00236AD4" w14:paraId="2CA63E86" w14:textId="77777777">
        <w:tc>
          <w:tcPr>
            <w:tcW w:w="645" w:type="pct"/>
            <w:shd w:val="clear" w:color="auto" w:fill="E1E3F2"/>
          </w:tcPr>
          <w:p w14:paraId="2EB9C7F4" w14:textId="77777777" w:rsidR="00236AD4" w:rsidRPr="00672BF8" w:rsidRDefault="00236AD4" w:rsidP="00A4724A">
            <w:pPr>
              <w:pStyle w:val="DraftingNotesAgency"/>
              <w:spacing w:line="240" w:lineRule="auto"/>
              <w:rPr>
                <w:rFonts w:ascii="Verdana" w:hAnsi="Verdana"/>
                <w:i w:val="0"/>
                <w:color w:val="auto"/>
                <w:sz w:val="18"/>
              </w:rPr>
            </w:pPr>
            <w:r>
              <w:rPr>
                <w:rFonts w:ascii="Verdana" w:hAnsi="Verdana"/>
                <w:i w:val="0"/>
                <w:color w:val="auto"/>
                <w:sz w:val="18"/>
              </w:rPr>
              <w:t>371-</w:t>
            </w:r>
            <w:r w:rsidRPr="00672BF8">
              <w:rPr>
                <w:rFonts w:ascii="Verdana" w:hAnsi="Verdana"/>
                <w:i w:val="0"/>
                <w:color w:val="auto"/>
                <w:sz w:val="18"/>
              </w:rPr>
              <w:t>372</w:t>
            </w:r>
          </w:p>
        </w:tc>
        <w:tc>
          <w:tcPr>
            <w:tcW w:w="812" w:type="pct"/>
            <w:shd w:val="clear" w:color="auto" w:fill="E1E3F2"/>
          </w:tcPr>
          <w:p w14:paraId="28389DA7" w14:textId="4AE04E23" w:rsidR="00236AD4" w:rsidRPr="00672BF8" w:rsidRDefault="00236AD4" w:rsidP="00A4724A">
            <w:pPr>
              <w:pStyle w:val="DraftingNotesAgency"/>
              <w:spacing w:line="240" w:lineRule="auto"/>
              <w:rPr>
                <w:rFonts w:ascii="Verdana" w:hAnsi="Verdana"/>
                <w:i w:val="0"/>
                <w:color w:val="auto"/>
                <w:sz w:val="18"/>
                <w:highlight w:val="lightGray"/>
              </w:rPr>
            </w:pPr>
          </w:p>
        </w:tc>
        <w:tc>
          <w:tcPr>
            <w:tcW w:w="2006" w:type="pct"/>
            <w:shd w:val="clear" w:color="auto" w:fill="E1E3F2"/>
          </w:tcPr>
          <w:p w14:paraId="1F04EA7C" w14:textId="77777777" w:rsidR="00236AD4" w:rsidRPr="00672BF8" w:rsidRDefault="00236AD4" w:rsidP="00A4724A">
            <w:pPr>
              <w:pStyle w:val="TabletextrowsAgency"/>
              <w:spacing w:line="240" w:lineRule="auto"/>
            </w:pPr>
            <w:r w:rsidRPr="00672BF8">
              <w:t>Unclear how an AC should be incorporated in a randomized withdrawal design; that would require to switch e.g. TNF-refractory pts responding to induction with the experimental drug to TNF or a different drug of unknown activity for that patient. Ethically very difficult and not acceptable to many investigators and patients.</w:t>
            </w:r>
          </w:p>
        </w:tc>
        <w:tc>
          <w:tcPr>
            <w:tcW w:w="1537" w:type="pct"/>
            <w:shd w:val="clear" w:color="auto" w:fill="E1E3F2"/>
          </w:tcPr>
          <w:p w14:paraId="1AA45038" w14:textId="77777777" w:rsidR="00236AD4" w:rsidRPr="00F5143F" w:rsidRDefault="00236AD4">
            <w:pPr>
              <w:pStyle w:val="TabletextrowsAgency"/>
              <w:rPr>
                <w:b/>
                <w:color w:val="0000FF"/>
              </w:rPr>
            </w:pPr>
          </w:p>
        </w:tc>
      </w:tr>
      <w:tr w:rsidR="00236AD4" w14:paraId="4DEA0748" w14:textId="77777777">
        <w:tc>
          <w:tcPr>
            <w:tcW w:w="645" w:type="pct"/>
            <w:shd w:val="clear" w:color="auto" w:fill="E1E3F2"/>
          </w:tcPr>
          <w:p w14:paraId="00B96DC8" w14:textId="77777777" w:rsidR="00236AD4" w:rsidRDefault="00236AD4" w:rsidP="00A4724A">
            <w:pPr>
              <w:pStyle w:val="TabletextrowsAgency"/>
              <w:spacing w:line="240" w:lineRule="auto"/>
            </w:pPr>
            <w:r>
              <w:t>382-392</w:t>
            </w:r>
          </w:p>
        </w:tc>
        <w:tc>
          <w:tcPr>
            <w:tcW w:w="812" w:type="pct"/>
            <w:shd w:val="clear" w:color="auto" w:fill="E1E3F2"/>
          </w:tcPr>
          <w:p w14:paraId="64B52FA0" w14:textId="33B64941" w:rsidR="00236AD4" w:rsidRDefault="00236AD4" w:rsidP="00A4724A">
            <w:pPr>
              <w:pStyle w:val="TabletextrowsAgency"/>
              <w:spacing w:line="240" w:lineRule="auto"/>
            </w:pPr>
          </w:p>
        </w:tc>
        <w:tc>
          <w:tcPr>
            <w:tcW w:w="2006" w:type="pct"/>
            <w:shd w:val="clear" w:color="auto" w:fill="E1E3F2"/>
          </w:tcPr>
          <w:p w14:paraId="15F10025" w14:textId="77777777" w:rsidR="00236AD4" w:rsidRDefault="00236AD4" w:rsidP="00A4724A">
            <w:pPr>
              <w:pStyle w:val="TabletextrowsAgency"/>
              <w:spacing w:line="240" w:lineRule="auto"/>
            </w:pPr>
            <w:r>
              <w:t>The discussion of refractoriness in to other drugs in a maintenance setting is unclear.  Is this section intended to refer to the concomitant/prior meds prior to induction with whatever agent was used prior to putting the subjects into a maintenance trial?</w:t>
            </w:r>
          </w:p>
        </w:tc>
        <w:tc>
          <w:tcPr>
            <w:tcW w:w="1537" w:type="pct"/>
            <w:shd w:val="clear" w:color="auto" w:fill="E1E3F2"/>
          </w:tcPr>
          <w:p w14:paraId="599F4369" w14:textId="77777777" w:rsidR="00236AD4" w:rsidRDefault="00236AD4">
            <w:pPr>
              <w:pStyle w:val="TabletextrowsAgency"/>
            </w:pPr>
          </w:p>
        </w:tc>
      </w:tr>
      <w:tr w:rsidR="00236AD4" w14:paraId="1C732677" w14:textId="77777777">
        <w:tc>
          <w:tcPr>
            <w:tcW w:w="645" w:type="pct"/>
            <w:shd w:val="clear" w:color="auto" w:fill="E1E3F2"/>
          </w:tcPr>
          <w:p w14:paraId="262643D4" w14:textId="77777777" w:rsidR="00236AD4" w:rsidRDefault="00236AD4" w:rsidP="00A4724A">
            <w:pPr>
              <w:pStyle w:val="TabletextrowsAgency"/>
              <w:spacing w:line="240" w:lineRule="auto"/>
            </w:pPr>
            <w:r>
              <w:t>395-396</w:t>
            </w:r>
          </w:p>
        </w:tc>
        <w:tc>
          <w:tcPr>
            <w:tcW w:w="812" w:type="pct"/>
            <w:shd w:val="clear" w:color="auto" w:fill="E1E3F2"/>
          </w:tcPr>
          <w:p w14:paraId="2504DA5C" w14:textId="6F575B9D" w:rsidR="00236AD4" w:rsidRPr="00543373" w:rsidRDefault="00236AD4" w:rsidP="00A4724A">
            <w:pPr>
              <w:pStyle w:val="TabletextrowsAgency"/>
              <w:spacing w:line="240" w:lineRule="auto"/>
              <w:rPr>
                <w:b/>
              </w:rPr>
            </w:pPr>
          </w:p>
        </w:tc>
        <w:tc>
          <w:tcPr>
            <w:tcW w:w="2006" w:type="pct"/>
            <w:shd w:val="clear" w:color="auto" w:fill="E1E3F2"/>
          </w:tcPr>
          <w:p w14:paraId="4639B3B1" w14:textId="77777777" w:rsidR="00236AD4" w:rsidRPr="007C6F92" w:rsidRDefault="00236AD4" w:rsidP="00A4724A">
            <w:pPr>
              <w:pStyle w:val="TabletextrowsAgency"/>
              <w:spacing w:line="240" w:lineRule="auto"/>
            </w:pPr>
            <w:r w:rsidRPr="002A6DC3">
              <w:rPr>
                <w:b/>
              </w:rPr>
              <w:t>Comment:</w:t>
            </w:r>
            <w:r w:rsidRPr="007C6F92">
              <w:rPr>
                <w:rFonts w:eastAsia="Verdana"/>
                <w:spacing w:val="-1"/>
              </w:rPr>
              <w:t xml:space="preserve"> Please clarify if the </w:t>
            </w:r>
            <w:proofErr w:type="gramStart"/>
            <w:r w:rsidRPr="007C6F92">
              <w:rPr>
                <w:rFonts w:eastAsia="Verdana"/>
                <w:spacing w:val="-1"/>
              </w:rPr>
              <w:t>one year</w:t>
            </w:r>
            <w:proofErr w:type="gramEnd"/>
            <w:r w:rsidRPr="007C6F92">
              <w:rPr>
                <w:rFonts w:eastAsia="Verdana"/>
                <w:spacing w:val="-1"/>
              </w:rPr>
              <w:t xml:space="preserve"> maintenance phase can include 12 weeks of steroid tapering at the beginning of the maintenance phase.</w:t>
            </w:r>
            <w:r w:rsidRPr="007C6F92">
              <w:rPr>
                <w:rFonts w:eastAsia="Verdana"/>
                <w:spacing w:val="-1"/>
              </w:rPr>
              <w:br/>
              <w:t>We consider 6 months as appropriate as one year for steroid-free remission, and therefore recommend that patients must be steroid free for 6 months prior to the one year primary endpoint assessment.</w:t>
            </w:r>
            <w:r>
              <w:rPr>
                <w:rFonts w:eastAsia="Verdana"/>
                <w:spacing w:val="-1"/>
              </w:rPr>
              <w:t xml:space="preserve"> </w:t>
            </w:r>
            <w:r w:rsidRPr="007C6F92">
              <w:t>We propose to allow a single, short-term steroid dose due to other, unrelated conditions.</w:t>
            </w:r>
          </w:p>
        </w:tc>
        <w:tc>
          <w:tcPr>
            <w:tcW w:w="1537" w:type="pct"/>
            <w:shd w:val="clear" w:color="auto" w:fill="E1E3F2"/>
          </w:tcPr>
          <w:p w14:paraId="2EAF76F3" w14:textId="77777777" w:rsidR="00236AD4" w:rsidRPr="00927CD3" w:rsidRDefault="00236AD4">
            <w:pPr>
              <w:pStyle w:val="TabletextrowsAgency"/>
              <w:rPr>
                <w:b/>
                <w:color w:val="0000FF"/>
              </w:rPr>
            </w:pPr>
          </w:p>
        </w:tc>
      </w:tr>
      <w:tr w:rsidR="00236AD4" w14:paraId="768FBB59" w14:textId="77777777">
        <w:tc>
          <w:tcPr>
            <w:tcW w:w="645" w:type="pct"/>
            <w:shd w:val="clear" w:color="auto" w:fill="E1E3F2"/>
          </w:tcPr>
          <w:p w14:paraId="08976313" w14:textId="77777777" w:rsidR="00236AD4" w:rsidRDefault="00236AD4" w:rsidP="00A4724A">
            <w:pPr>
              <w:pStyle w:val="TabletextrowsAgency"/>
              <w:spacing w:line="240" w:lineRule="auto"/>
            </w:pPr>
            <w:r>
              <w:t>431 – 433</w:t>
            </w:r>
          </w:p>
        </w:tc>
        <w:tc>
          <w:tcPr>
            <w:tcW w:w="812" w:type="pct"/>
            <w:shd w:val="clear" w:color="auto" w:fill="E1E3F2"/>
          </w:tcPr>
          <w:p w14:paraId="32C07A17" w14:textId="32A8EE38" w:rsidR="00236AD4" w:rsidRPr="00176D9F" w:rsidRDefault="00236AD4" w:rsidP="00A4724A">
            <w:pPr>
              <w:pStyle w:val="TabletextrowsAgency"/>
              <w:spacing w:line="240" w:lineRule="auto"/>
              <w:rPr>
                <w:b/>
              </w:rPr>
            </w:pPr>
          </w:p>
        </w:tc>
        <w:tc>
          <w:tcPr>
            <w:tcW w:w="2006" w:type="pct"/>
            <w:shd w:val="clear" w:color="auto" w:fill="E1E3F2"/>
          </w:tcPr>
          <w:p w14:paraId="1D1881F3" w14:textId="77777777" w:rsidR="00236AD4" w:rsidRDefault="00236AD4" w:rsidP="00A4724A">
            <w:pPr>
              <w:pStyle w:val="TabletextrowsAgency"/>
              <w:spacing w:line="240" w:lineRule="auto"/>
            </w:pPr>
            <w:r w:rsidRPr="00A733EC">
              <w:rPr>
                <w:b/>
              </w:rPr>
              <w:t>Comment:</w:t>
            </w:r>
            <w:r>
              <w:t xml:space="preserve"> As the draft guideline states, UC is rare below 10 years of age. Yet the clinical development is asked to include patients from 2 years of age. Fully-powered clinical efficacy studies in the paediatric population 2 – 10 years of age might not be feasible due to the low patient numbers. Therefore clarification is needed on what is expected to be demonstrated in those children. (see also next comment)</w:t>
            </w:r>
          </w:p>
        </w:tc>
        <w:tc>
          <w:tcPr>
            <w:tcW w:w="1537" w:type="pct"/>
            <w:shd w:val="clear" w:color="auto" w:fill="E1E3F2"/>
          </w:tcPr>
          <w:p w14:paraId="503E0697" w14:textId="77777777" w:rsidR="00236AD4" w:rsidRPr="00927CD3" w:rsidRDefault="00236AD4">
            <w:pPr>
              <w:pStyle w:val="TabletextrowsAgency"/>
              <w:rPr>
                <w:b/>
                <w:color w:val="0000FF"/>
              </w:rPr>
            </w:pPr>
          </w:p>
        </w:tc>
      </w:tr>
      <w:tr w:rsidR="00236AD4" w14:paraId="209EE2D3" w14:textId="77777777">
        <w:tc>
          <w:tcPr>
            <w:tcW w:w="645" w:type="pct"/>
            <w:shd w:val="clear" w:color="auto" w:fill="E1E3F2"/>
          </w:tcPr>
          <w:p w14:paraId="03134623" w14:textId="77777777" w:rsidR="00236AD4" w:rsidRDefault="00236AD4" w:rsidP="00A4724A">
            <w:pPr>
              <w:pStyle w:val="TabletextrowsAgency"/>
              <w:spacing w:line="240" w:lineRule="auto"/>
            </w:pPr>
            <w:r>
              <w:t>431-437</w:t>
            </w:r>
          </w:p>
        </w:tc>
        <w:tc>
          <w:tcPr>
            <w:tcW w:w="812" w:type="pct"/>
            <w:shd w:val="clear" w:color="auto" w:fill="E1E3F2"/>
          </w:tcPr>
          <w:p w14:paraId="1576697C" w14:textId="2625059B" w:rsidR="00236AD4" w:rsidRPr="00893081" w:rsidRDefault="00236AD4" w:rsidP="00A4724A">
            <w:pPr>
              <w:pStyle w:val="TabletextrowsAgency"/>
              <w:spacing w:line="240" w:lineRule="auto"/>
              <w:rPr>
                <w:b/>
              </w:rPr>
            </w:pPr>
          </w:p>
        </w:tc>
        <w:tc>
          <w:tcPr>
            <w:tcW w:w="2006" w:type="pct"/>
            <w:shd w:val="clear" w:color="auto" w:fill="E1E3F2"/>
          </w:tcPr>
          <w:p w14:paraId="7AB9796F" w14:textId="77777777" w:rsidR="00236AD4" w:rsidRDefault="00236AD4" w:rsidP="00A4724A">
            <w:pPr>
              <w:pStyle w:val="TabletextrowsAgency"/>
              <w:spacing w:line="240" w:lineRule="auto"/>
            </w:pPr>
            <w:r w:rsidRPr="00BF23BE">
              <w:rPr>
                <w:b/>
              </w:rPr>
              <w:t>Comment:</w:t>
            </w:r>
            <w:r>
              <w:t xml:space="preserve"> The comment that children from 2 years of age and older should be included in clinical development programs requires clarification.  The key point here is the age at which the subject’s IBD was diagnosed, which is inversely proportional to the likelihood that the subject has a rare, monogenic cause for IBD.  We would advocate that the age at diagnosis of patients that should be included in </w:t>
            </w:r>
            <w:proofErr w:type="spellStart"/>
            <w:r>
              <w:t>pediatric</w:t>
            </w:r>
            <w:proofErr w:type="spellEnd"/>
            <w:r>
              <w:t xml:space="preserve"> IBD clinical trials is 7 and above, which is consistent  with the current definition of “Very Early Onset IBD” (VEOIBD, patients with IBD onset &lt;6 years of age).  Furthermore, even though the draft guidance discusses testing for monogenic defects that may cause IBD, it states that subjects can be included or excluded based on the defect.  This guidance is confusing, as it appears to be mandating the inclusion of </w:t>
            </w:r>
            <w:proofErr w:type="spellStart"/>
            <w:r>
              <w:t>pediatric</w:t>
            </w:r>
            <w:proofErr w:type="spellEnd"/>
            <w:r>
              <w:t xml:space="preserve"> subjects with rare, monogenic causes for IBD, in </w:t>
            </w:r>
            <w:proofErr w:type="spellStart"/>
            <w:r>
              <w:t>pediatric</w:t>
            </w:r>
            <w:proofErr w:type="spellEnd"/>
            <w:r>
              <w:t xml:space="preserve"> clinical trials that are designed to investigate idiopathic IBD.  </w:t>
            </w:r>
          </w:p>
          <w:p w14:paraId="3874A1CB" w14:textId="77777777" w:rsidR="00236AD4" w:rsidRDefault="00236AD4" w:rsidP="00A4724A">
            <w:pPr>
              <w:pStyle w:val="TabletextrowsAgency"/>
              <w:spacing w:line="240" w:lineRule="auto"/>
            </w:pPr>
          </w:p>
          <w:p w14:paraId="6D6FB5FF" w14:textId="77777777" w:rsidR="00236AD4" w:rsidRPr="00C8686B" w:rsidRDefault="00236AD4" w:rsidP="00A4724A">
            <w:pPr>
              <w:pStyle w:val="TabletextrowsAgency"/>
              <w:spacing w:line="240" w:lineRule="auto"/>
              <w:rPr>
                <w:b/>
              </w:rPr>
            </w:pPr>
            <w:r w:rsidRPr="00C8686B">
              <w:rPr>
                <w:b/>
              </w:rPr>
              <w:t xml:space="preserve">Proposed change (if any): </w:t>
            </w:r>
          </w:p>
          <w:p w14:paraId="71A5DBE3" w14:textId="77777777" w:rsidR="00236AD4" w:rsidRDefault="00236AD4" w:rsidP="00A4724A">
            <w:pPr>
              <w:pStyle w:val="TabletextrowsAgency"/>
              <w:spacing w:line="240" w:lineRule="auto"/>
            </w:pPr>
            <w:r>
              <w:t xml:space="preserve">1) Consider rewording this section to base the </w:t>
            </w:r>
            <w:proofErr w:type="spellStart"/>
            <w:r>
              <w:t>pediatric</w:t>
            </w:r>
            <w:proofErr w:type="spellEnd"/>
            <w:r>
              <w:t xml:space="preserve"> subject’s age on the age at diagnosis, rather than the current age of the subject.</w:t>
            </w:r>
          </w:p>
          <w:p w14:paraId="02F1952B" w14:textId="77777777" w:rsidR="00236AD4" w:rsidRDefault="00236AD4" w:rsidP="00A4724A">
            <w:pPr>
              <w:pStyle w:val="TabletextrowsAgency"/>
              <w:spacing w:line="240" w:lineRule="auto"/>
            </w:pPr>
            <w:r>
              <w:t xml:space="preserve">2) Consider explicitly using the term “Very Early Onset IBD” to make it clear that the intention of this guidance is not to mandate the inclusion of </w:t>
            </w:r>
            <w:proofErr w:type="spellStart"/>
            <w:r>
              <w:t>pediatric</w:t>
            </w:r>
            <w:proofErr w:type="spellEnd"/>
            <w:r>
              <w:t xml:space="preserve"> subjects with rare, monogenic causes of IBD in trials designed to include subjects with idiopathic IBD.  The Agency should consider communicating a clear expectation that rare, monogenic causes of IBD will be considered orphan diseases. </w:t>
            </w:r>
          </w:p>
        </w:tc>
        <w:tc>
          <w:tcPr>
            <w:tcW w:w="1537" w:type="pct"/>
            <w:shd w:val="clear" w:color="auto" w:fill="E1E3F2"/>
          </w:tcPr>
          <w:p w14:paraId="08F45649" w14:textId="77777777" w:rsidR="00236AD4" w:rsidRPr="00927CD3" w:rsidRDefault="00236AD4">
            <w:pPr>
              <w:pStyle w:val="TabletextrowsAgency"/>
              <w:rPr>
                <w:b/>
                <w:color w:val="0000FF"/>
              </w:rPr>
            </w:pPr>
          </w:p>
        </w:tc>
      </w:tr>
      <w:tr w:rsidR="00236AD4" w14:paraId="47ECF458" w14:textId="77777777">
        <w:tc>
          <w:tcPr>
            <w:tcW w:w="645" w:type="pct"/>
            <w:shd w:val="clear" w:color="auto" w:fill="E1E3F2"/>
          </w:tcPr>
          <w:p w14:paraId="0A707AE2" w14:textId="77777777" w:rsidR="00236AD4" w:rsidRDefault="00236AD4" w:rsidP="00A4724A">
            <w:pPr>
              <w:pStyle w:val="TabletextrowsAgency"/>
              <w:spacing w:line="240" w:lineRule="auto"/>
            </w:pPr>
            <w:r>
              <w:t>436-437</w:t>
            </w:r>
          </w:p>
        </w:tc>
        <w:tc>
          <w:tcPr>
            <w:tcW w:w="812" w:type="pct"/>
            <w:shd w:val="clear" w:color="auto" w:fill="E1E3F2"/>
          </w:tcPr>
          <w:p w14:paraId="1826EA36" w14:textId="52A02EBB" w:rsidR="00236AD4" w:rsidRDefault="00236AD4" w:rsidP="00A4724A">
            <w:pPr>
              <w:pStyle w:val="TabletextrowsAgency"/>
              <w:spacing w:line="240" w:lineRule="auto"/>
            </w:pPr>
          </w:p>
        </w:tc>
        <w:tc>
          <w:tcPr>
            <w:tcW w:w="2006" w:type="pct"/>
            <w:shd w:val="clear" w:color="auto" w:fill="E1E3F2"/>
          </w:tcPr>
          <w:p w14:paraId="27F3DAFE" w14:textId="77777777" w:rsidR="00236AD4" w:rsidRDefault="00236AD4" w:rsidP="00A4724A">
            <w:pPr>
              <w:pStyle w:val="TabletextrowsAgency"/>
              <w:spacing w:line="240" w:lineRule="auto"/>
            </w:pPr>
            <w:r w:rsidRPr="002A6DC3">
              <w:rPr>
                <w:b/>
              </w:rPr>
              <w:t>Comment:</w:t>
            </w:r>
            <w:r>
              <w:t xml:space="preserve"> Please clarify the term “younger children” by adding an age.</w:t>
            </w:r>
          </w:p>
          <w:p w14:paraId="51251B66" w14:textId="77777777" w:rsidR="00236AD4" w:rsidRDefault="00236AD4" w:rsidP="00A4724A">
            <w:pPr>
              <w:pStyle w:val="TabletextrowsAgency"/>
              <w:spacing w:line="240" w:lineRule="auto"/>
            </w:pPr>
            <w:r>
              <w:t>We agree to genetically testing children, but should not be the sponsor´s burden.</w:t>
            </w:r>
          </w:p>
          <w:p w14:paraId="17990770" w14:textId="77777777" w:rsidR="00236AD4" w:rsidRDefault="00236AD4" w:rsidP="00A4724A">
            <w:pPr>
              <w:pStyle w:val="TabletextrowsAgency"/>
              <w:spacing w:line="240" w:lineRule="auto"/>
            </w:pPr>
          </w:p>
          <w:p w14:paraId="64BF1AB8" w14:textId="77777777" w:rsidR="00236AD4" w:rsidRDefault="00236AD4" w:rsidP="00A4724A">
            <w:pPr>
              <w:spacing w:before="28"/>
              <w:ind w:right="83"/>
              <w:rPr>
                <w:rFonts w:eastAsia="Verdana"/>
              </w:rPr>
            </w:pPr>
            <w:r w:rsidRPr="002A6DC3">
              <w:rPr>
                <w:b/>
              </w:rPr>
              <w:t>Proposed change (if any):</w:t>
            </w:r>
            <w:r>
              <w:rPr>
                <w:rFonts w:eastAsia="Verdana"/>
              </w:rPr>
              <w:t xml:space="preserve"> </w:t>
            </w:r>
          </w:p>
          <w:p w14:paraId="1270E62E" w14:textId="77777777" w:rsidR="00236AD4" w:rsidRPr="009B1042" w:rsidRDefault="00236AD4" w:rsidP="009B1042">
            <w:pPr>
              <w:spacing w:before="28"/>
              <w:ind w:right="83"/>
              <w:rPr>
                <w:rFonts w:eastAsia="Verdana"/>
              </w:rPr>
            </w:pPr>
            <w:r>
              <w:rPr>
                <w:rFonts w:eastAsia="Verdana"/>
              </w:rPr>
              <w:t>“Y</w:t>
            </w:r>
            <w:r>
              <w:rPr>
                <w:rFonts w:eastAsia="Verdana"/>
                <w:spacing w:val="1"/>
              </w:rPr>
              <w:t>o</w:t>
            </w:r>
            <w:r>
              <w:rPr>
                <w:rFonts w:eastAsia="Verdana"/>
                <w:spacing w:val="-1"/>
              </w:rPr>
              <w:t>un</w:t>
            </w:r>
            <w:r>
              <w:rPr>
                <w:rFonts w:eastAsia="Verdana"/>
                <w:spacing w:val="1"/>
              </w:rPr>
              <w:t>ge</w:t>
            </w:r>
            <w:r>
              <w:rPr>
                <w:rFonts w:eastAsia="Verdana"/>
              </w:rPr>
              <w:t>r</w:t>
            </w:r>
            <w:r>
              <w:rPr>
                <w:rFonts w:eastAsia="Verdana"/>
                <w:spacing w:val="-1"/>
              </w:rPr>
              <w:t xml:space="preserve"> </w:t>
            </w:r>
            <w:r>
              <w:rPr>
                <w:rFonts w:eastAsia="Verdana"/>
              </w:rPr>
              <w:t>c</w:t>
            </w:r>
            <w:r>
              <w:rPr>
                <w:rFonts w:eastAsia="Verdana"/>
                <w:spacing w:val="-1"/>
              </w:rPr>
              <w:t>h</w:t>
            </w:r>
            <w:r>
              <w:rPr>
                <w:rFonts w:eastAsia="Verdana"/>
                <w:spacing w:val="1"/>
              </w:rPr>
              <w:t>ild</w:t>
            </w:r>
            <w:r>
              <w:rPr>
                <w:rFonts w:eastAsia="Verdana"/>
              </w:rPr>
              <w:t>r</w:t>
            </w:r>
            <w:r>
              <w:rPr>
                <w:rFonts w:eastAsia="Verdana"/>
                <w:spacing w:val="1"/>
              </w:rPr>
              <w:t>e</w:t>
            </w:r>
            <w:r>
              <w:rPr>
                <w:rFonts w:eastAsia="Verdana"/>
              </w:rPr>
              <w:t>n</w:t>
            </w:r>
            <w:r>
              <w:rPr>
                <w:rFonts w:eastAsia="Verdana"/>
                <w:spacing w:val="-2"/>
              </w:rPr>
              <w:t xml:space="preserve"> </w:t>
            </w:r>
            <w:r w:rsidRPr="00E016B1">
              <w:rPr>
                <w:rFonts w:eastAsia="Verdana"/>
                <w:b/>
                <w:spacing w:val="-2"/>
              </w:rPr>
              <w:t>&lt;6 years of age</w:t>
            </w:r>
            <w:r>
              <w:rPr>
                <w:rFonts w:eastAsia="Verdana"/>
                <w:spacing w:val="-2"/>
              </w:rPr>
              <w:t xml:space="preserve"> </w:t>
            </w:r>
            <w:r w:rsidRPr="00E016B1">
              <w:rPr>
                <w:rFonts w:eastAsia="Verdana"/>
                <w:b/>
                <w:strike/>
              </w:rPr>
              <w:t>s</w:t>
            </w:r>
            <w:r w:rsidRPr="00E016B1">
              <w:rPr>
                <w:rFonts w:eastAsia="Verdana"/>
                <w:b/>
                <w:strike/>
                <w:spacing w:val="-1"/>
              </w:rPr>
              <w:t>h</w:t>
            </w:r>
            <w:r w:rsidRPr="00E016B1">
              <w:rPr>
                <w:rFonts w:eastAsia="Verdana"/>
                <w:b/>
                <w:strike/>
                <w:spacing w:val="1"/>
              </w:rPr>
              <w:t>o</w:t>
            </w:r>
            <w:r w:rsidRPr="00E016B1">
              <w:rPr>
                <w:rFonts w:eastAsia="Verdana"/>
                <w:b/>
                <w:strike/>
                <w:spacing w:val="-1"/>
              </w:rPr>
              <w:t>u</w:t>
            </w:r>
            <w:r w:rsidRPr="00E016B1">
              <w:rPr>
                <w:rFonts w:eastAsia="Verdana"/>
                <w:b/>
                <w:strike/>
                <w:spacing w:val="3"/>
              </w:rPr>
              <w:t>l</w:t>
            </w:r>
            <w:r w:rsidRPr="00E016B1">
              <w:rPr>
                <w:rFonts w:eastAsia="Verdana"/>
                <w:b/>
                <w:strike/>
              </w:rPr>
              <w:t xml:space="preserve">d </w:t>
            </w:r>
            <w:r w:rsidRPr="00E016B1">
              <w:rPr>
                <w:rFonts w:eastAsia="Verdana"/>
                <w:b/>
                <w:strike/>
                <w:spacing w:val="1"/>
              </w:rPr>
              <w:t>b</w:t>
            </w:r>
            <w:r w:rsidRPr="00E016B1">
              <w:rPr>
                <w:rFonts w:eastAsia="Verdana"/>
                <w:b/>
                <w:strike/>
              </w:rPr>
              <w:t>e</w:t>
            </w:r>
            <w:r w:rsidRPr="00005AC4">
              <w:rPr>
                <w:rFonts w:eastAsia="Verdana"/>
                <w:strike/>
              </w:rPr>
              <w:t xml:space="preserve"> </w:t>
            </w:r>
            <w:r w:rsidRPr="00E016B1">
              <w:rPr>
                <w:rFonts w:eastAsia="Verdana"/>
                <w:b/>
              </w:rPr>
              <w:t>should have been</w:t>
            </w:r>
            <w:r w:rsidRPr="006A3ADF">
              <w:rPr>
                <w:rFonts w:eastAsia="Verdana"/>
                <w:color w:val="FF0000"/>
              </w:rPr>
              <w:t xml:space="preserve"> </w:t>
            </w:r>
            <w:r>
              <w:rPr>
                <w:rFonts w:eastAsia="Verdana"/>
                <w:spacing w:val="1"/>
              </w:rPr>
              <w:t>ge</w:t>
            </w:r>
            <w:r>
              <w:rPr>
                <w:rFonts w:eastAsia="Verdana"/>
                <w:spacing w:val="-1"/>
              </w:rPr>
              <w:t>n</w:t>
            </w:r>
            <w:r>
              <w:rPr>
                <w:rFonts w:eastAsia="Verdana"/>
                <w:spacing w:val="1"/>
              </w:rPr>
              <w:t>eti</w:t>
            </w:r>
            <w:r>
              <w:rPr>
                <w:rFonts w:eastAsia="Verdana"/>
              </w:rPr>
              <w:t>c</w:t>
            </w:r>
            <w:r>
              <w:rPr>
                <w:rFonts w:eastAsia="Verdana"/>
                <w:spacing w:val="-3"/>
              </w:rPr>
              <w:t>a</w:t>
            </w:r>
            <w:r>
              <w:rPr>
                <w:rFonts w:eastAsia="Verdana"/>
                <w:spacing w:val="1"/>
              </w:rPr>
              <w:t>ll</w:t>
            </w:r>
            <w:r>
              <w:rPr>
                <w:rFonts w:eastAsia="Verdana"/>
              </w:rPr>
              <w:t>y</w:t>
            </w:r>
            <w:r>
              <w:rPr>
                <w:rFonts w:eastAsia="Verdana"/>
                <w:spacing w:val="-2"/>
              </w:rPr>
              <w:t xml:space="preserve"> </w:t>
            </w:r>
            <w:r>
              <w:rPr>
                <w:rFonts w:eastAsia="Verdana"/>
                <w:spacing w:val="1"/>
              </w:rPr>
              <w:t>te</w:t>
            </w:r>
            <w:r>
              <w:rPr>
                <w:rFonts w:eastAsia="Verdana"/>
                <w:spacing w:val="-3"/>
              </w:rPr>
              <w:t>s</w:t>
            </w:r>
            <w:r>
              <w:rPr>
                <w:rFonts w:eastAsia="Verdana"/>
                <w:spacing w:val="1"/>
              </w:rPr>
              <w:t>ted for known immunological defects and in-or excluded depending on the defect.”</w:t>
            </w:r>
          </w:p>
        </w:tc>
        <w:tc>
          <w:tcPr>
            <w:tcW w:w="1537" w:type="pct"/>
            <w:shd w:val="clear" w:color="auto" w:fill="E1E3F2"/>
          </w:tcPr>
          <w:p w14:paraId="103B2451" w14:textId="77777777" w:rsidR="00236AD4" w:rsidRPr="00927CD3" w:rsidRDefault="00236AD4">
            <w:pPr>
              <w:pStyle w:val="TabletextrowsAgency"/>
              <w:rPr>
                <w:b/>
                <w:color w:val="0000FF"/>
              </w:rPr>
            </w:pPr>
          </w:p>
        </w:tc>
      </w:tr>
      <w:tr w:rsidR="00236AD4" w14:paraId="4113D7AB" w14:textId="77777777">
        <w:tc>
          <w:tcPr>
            <w:tcW w:w="645" w:type="pct"/>
            <w:shd w:val="clear" w:color="auto" w:fill="E1E3F2"/>
          </w:tcPr>
          <w:p w14:paraId="6866A14B" w14:textId="77777777" w:rsidR="00236AD4" w:rsidRDefault="00236AD4" w:rsidP="00A4724A">
            <w:pPr>
              <w:pStyle w:val="TabletextrowsAgency"/>
              <w:spacing w:line="240" w:lineRule="auto"/>
            </w:pPr>
            <w:r>
              <w:t>443-463</w:t>
            </w:r>
          </w:p>
        </w:tc>
        <w:tc>
          <w:tcPr>
            <w:tcW w:w="812" w:type="pct"/>
            <w:shd w:val="clear" w:color="auto" w:fill="E1E3F2"/>
          </w:tcPr>
          <w:p w14:paraId="4446A578" w14:textId="7CACAC0C" w:rsidR="00236AD4" w:rsidRPr="00893081" w:rsidRDefault="00236AD4" w:rsidP="00A4724A">
            <w:pPr>
              <w:pStyle w:val="TabletextrowsAgency"/>
              <w:spacing w:line="240" w:lineRule="auto"/>
              <w:rPr>
                <w:b/>
              </w:rPr>
            </w:pPr>
          </w:p>
        </w:tc>
        <w:tc>
          <w:tcPr>
            <w:tcW w:w="2006" w:type="pct"/>
            <w:shd w:val="clear" w:color="auto" w:fill="E1E3F2"/>
          </w:tcPr>
          <w:p w14:paraId="6546C3A9" w14:textId="77777777" w:rsidR="00236AD4" w:rsidRDefault="00236AD4" w:rsidP="00A4724A">
            <w:pPr>
              <w:pStyle w:val="TabletextrowsAgency"/>
              <w:spacing w:line="240" w:lineRule="auto"/>
            </w:pPr>
            <w:r>
              <w:t xml:space="preserve">In designing clinical trials, extrapolation (particularly for conclusions of efficacy) implies that the adult trial leads the paediatric trial. Only then can extrapolation result in a reduction in the amount of data required.  While the goal has been to have a concurrent adult/paediatric development, this benefits a staggered development more than the latter.  If a concurrent development is pursued (at least with adolescents), the concept of extrapolation, even if it is conceivable (say, same pharmacological class), seems to be not helpful. </w:t>
            </w:r>
          </w:p>
          <w:p w14:paraId="66CD06C7" w14:textId="77777777" w:rsidR="00236AD4" w:rsidRDefault="00236AD4" w:rsidP="00A4724A">
            <w:pPr>
              <w:pStyle w:val="TabletextrowsAgency"/>
              <w:spacing w:line="240" w:lineRule="auto"/>
            </w:pPr>
          </w:p>
          <w:p w14:paraId="6289FF12" w14:textId="77777777" w:rsidR="00236AD4" w:rsidRDefault="00236AD4" w:rsidP="00A4724A">
            <w:pPr>
              <w:pStyle w:val="TabletextrowsAgency"/>
              <w:spacing w:line="240" w:lineRule="auto"/>
            </w:pPr>
            <w:r w:rsidRPr="00C8686B">
              <w:rPr>
                <w:b/>
              </w:rPr>
              <w:t>Proposed change (if any):</w:t>
            </w:r>
            <w:r>
              <w:t xml:space="preserve"> the guidance should explain how extrapolation, where conceivably applicable, can be used in concurrent development; endpoints for adults and paediatrics are not the same e.g. PUCUI; time points of assessments are not the same </w:t>
            </w:r>
          </w:p>
        </w:tc>
        <w:tc>
          <w:tcPr>
            <w:tcW w:w="1537" w:type="pct"/>
            <w:shd w:val="clear" w:color="auto" w:fill="E1E3F2"/>
          </w:tcPr>
          <w:p w14:paraId="630B3C44" w14:textId="77777777" w:rsidR="00236AD4" w:rsidRDefault="00236AD4">
            <w:pPr>
              <w:rPr>
                <w:b/>
                <w:bCs/>
                <w:color w:val="0000FF"/>
                <w:kern w:val="32"/>
              </w:rPr>
            </w:pPr>
          </w:p>
        </w:tc>
      </w:tr>
      <w:tr w:rsidR="00236AD4" w14:paraId="09BF934A" w14:textId="77777777">
        <w:tc>
          <w:tcPr>
            <w:tcW w:w="645" w:type="pct"/>
            <w:shd w:val="clear" w:color="auto" w:fill="E1E3F2"/>
          </w:tcPr>
          <w:p w14:paraId="3145823B" w14:textId="77777777" w:rsidR="00236AD4" w:rsidRDefault="00236AD4" w:rsidP="00A4724A">
            <w:pPr>
              <w:pStyle w:val="TabletextrowsAgency"/>
              <w:spacing w:line="240" w:lineRule="auto"/>
            </w:pPr>
            <w:r>
              <w:t>488-489, 492-493</w:t>
            </w:r>
          </w:p>
        </w:tc>
        <w:tc>
          <w:tcPr>
            <w:tcW w:w="812" w:type="pct"/>
            <w:shd w:val="clear" w:color="auto" w:fill="E1E3F2"/>
          </w:tcPr>
          <w:p w14:paraId="52A1D35F" w14:textId="32D8A7C5" w:rsidR="00236AD4" w:rsidRDefault="00236AD4" w:rsidP="00A4724A">
            <w:pPr>
              <w:pStyle w:val="TabletextrowsAgency"/>
              <w:spacing w:line="240" w:lineRule="auto"/>
            </w:pPr>
          </w:p>
        </w:tc>
        <w:tc>
          <w:tcPr>
            <w:tcW w:w="2006" w:type="pct"/>
            <w:shd w:val="clear" w:color="auto" w:fill="E1E3F2"/>
          </w:tcPr>
          <w:p w14:paraId="2536B75C" w14:textId="77777777" w:rsidR="00236AD4" w:rsidRDefault="00236AD4" w:rsidP="00A4724A">
            <w:pPr>
              <w:pStyle w:val="TabletextrowsAgency"/>
              <w:spacing w:line="240" w:lineRule="auto"/>
            </w:pPr>
            <w:r>
              <w:t xml:space="preserve">Repeated endoscopies in children are problematic.  Children in particular have more issues with the preparatory regimens than adults do, as these and the procedure itself interfere with school and activities.  Please consider allowing a symptom related endpoint (PUCAI) at least for induction endpoints (i.e., select either induction or maintenance where endoscopy is required but not both).  Paediatric UC, as an orphan disease, is already difficult to enrol into clinical studies due to the rarity of the disease.  Multiple invasive procedures deter enrolment into clinical studies.  </w:t>
            </w:r>
          </w:p>
        </w:tc>
        <w:tc>
          <w:tcPr>
            <w:tcW w:w="1537" w:type="pct"/>
            <w:shd w:val="clear" w:color="auto" w:fill="E1E3F2"/>
          </w:tcPr>
          <w:p w14:paraId="3F2501B7" w14:textId="77777777" w:rsidR="00236AD4" w:rsidRPr="00927CD3" w:rsidRDefault="00236AD4">
            <w:pPr>
              <w:pStyle w:val="TabletextrowsAgency"/>
              <w:rPr>
                <w:b/>
                <w:color w:val="0000FF"/>
              </w:rPr>
            </w:pPr>
          </w:p>
        </w:tc>
      </w:tr>
      <w:tr w:rsidR="00236AD4" w14:paraId="7FAA6DDC" w14:textId="77777777">
        <w:tc>
          <w:tcPr>
            <w:tcW w:w="645" w:type="pct"/>
            <w:shd w:val="clear" w:color="auto" w:fill="E1E3F2"/>
          </w:tcPr>
          <w:p w14:paraId="15822E24" w14:textId="77777777" w:rsidR="00236AD4" w:rsidRDefault="00236AD4" w:rsidP="00A4724A">
            <w:pPr>
              <w:pStyle w:val="TabletextrowsAgency"/>
              <w:spacing w:line="240" w:lineRule="auto"/>
            </w:pPr>
            <w:r>
              <w:t>490-491</w:t>
            </w:r>
          </w:p>
        </w:tc>
        <w:tc>
          <w:tcPr>
            <w:tcW w:w="812" w:type="pct"/>
            <w:shd w:val="clear" w:color="auto" w:fill="E1E3F2"/>
          </w:tcPr>
          <w:p w14:paraId="3E30CDA8" w14:textId="45E826EC" w:rsidR="00236AD4" w:rsidRPr="007C6F92" w:rsidRDefault="00236AD4" w:rsidP="00A4724A">
            <w:pPr>
              <w:pStyle w:val="TabletextrowsAgency"/>
              <w:spacing w:line="240" w:lineRule="auto"/>
            </w:pPr>
          </w:p>
        </w:tc>
        <w:tc>
          <w:tcPr>
            <w:tcW w:w="2006" w:type="pct"/>
            <w:shd w:val="clear" w:color="auto" w:fill="E1E3F2"/>
          </w:tcPr>
          <w:p w14:paraId="714E70CF" w14:textId="77777777" w:rsidR="00236AD4" w:rsidRPr="007C6F92" w:rsidRDefault="00236AD4" w:rsidP="00A4724A">
            <w:pPr>
              <w:pStyle w:val="TabletextrowsAgency"/>
              <w:spacing w:line="240" w:lineRule="auto"/>
            </w:pPr>
            <w:r w:rsidRPr="002A6DC3">
              <w:rPr>
                <w:b/>
              </w:rPr>
              <w:t>Comment:</w:t>
            </w:r>
            <w:r w:rsidRPr="007C6F92">
              <w:t xml:space="preserve"> Please clarify, if clinical response/remission alone could be an acceptable primary endpoint for induction, if combined with endoscopic MH for maintenance? This would allow for having fewer endoscopies in children.</w:t>
            </w:r>
          </w:p>
          <w:p w14:paraId="694A99AD" w14:textId="77777777" w:rsidR="00236AD4" w:rsidRPr="00E3461B" w:rsidRDefault="00236AD4" w:rsidP="00A4724A">
            <w:pPr>
              <w:pStyle w:val="CommentText"/>
              <w:rPr>
                <w:rFonts w:cs="Verdana"/>
                <w:sz w:val="18"/>
                <w:szCs w:val="18"/>
              </w:rPr>
            </w:pPr>
          </w:p>
          <w:p w14:paraId="6DF67203" w14:textId="77777777" w:rsidR="00236AD4" w:rsidRPr="00E3461B" w:rsidRDefault="00236AD4" w:rsidP="00A4724A">
            <w:pPr>
              <w:pStyle w:val="CommentText"/>
              <w:rPr>
                <w:rFonts w:cs="Verdana"/>
                <w:sz w:val="18"/>
                <w:szCs w:val="18"/>
              </w:rPr>
            </w:pPr>
            <w:r w:rsidRPr="00E3461B">
              <w:rPr>
                <w:rFonts w:cs="Verdana"/>
                <w:sz w:val="18"/>
                <w:szCs w:val="18"/>
              </w:rPr>
              <w:t xml:space="preserve">For trials with both an induction and maintenance phase, is it acceptable to perform endoscopy at the end of the maintenance phase and not at the end of induction? </w:t>
            </w:r>
          </w:p>
          <w:p w14:paraId="2280DA13" w14:textId="77777777" w:rsidR="00236AD4" w:rsidRPr="00E3461B" w:rsidRDefault="00236AD4" w:rsidP="00A4724A">
            <w:pPr>
              <w:pStyle w:val="CommentText"/>
              <w:rPr>
                <w:rFonts w:cs="Verdana"/>
                <w:sz w:val="18"/>
                <w:szCs w:val="18"/>
              </w:rPr>
            </w:pPr>
          </w:p>
          <w:p w14:paraId="443ABD7B" w14:textId="77777777" w:rsidR="00236AD4" w:rsidRDefault="00236AD4" w:rsidP="009B1042">
            <w:pPr>
              <w:pStyle w:val="CommentText"/>
              <w:rPr>
                <w:rFonts w:cs="Verdana"/>
                <w:sz w:val="18"/>
                <w:szCs w:val="18"/>
              </w:rPr>
            </w:pPr>
            <w:r w:rsidRPr="00E3461B">
              <w:rPr>
                <w:rFonts w:cs="Verdana"/>
                <w:sz w:val="18"/>
                <w:szCs w:val="18"/>
              </w:rPr>
              <w:t>Would it be acceptable to separate endoscopy from the induction/maintenance paradigm (i.e. perform endoscopy at the 6 month time point)?</w:t>
            </w:r>
          </w:p>
          <w:p w14:paraId="1C83E277" w14:textId="77777777" w:rsidR="00236AD4" w:rsidRDefault="00236AD4" w:rsidP="009B1042">
            <w:pPr>
              <w:pStyle w:val="CommentText"/>
              <w:rPr>
                <w:rFonts w:cs="Verdana"/>
                <w:sz w:val="18"/>
                <w:szCs w:val="18"/>
              </w:rPr>
            </w:pPr>
          </w:p>
          <w:p w14:paraId="0A93AD5A" w14:textId="77777777" w:rsidR="00236AD4" w:rsidRDefault="00236AD4" w:rsidP="009B1042">
            <w:pPr>
              <w:pStyle w:val="CommentText"/>
              <w:rPr>
                <w:rFonts w:eastAsia="Times New Roman" w:cs="Verdana"/>
                <w:sz w:val="18"/>
                <w:szCs w:val="18"/>
              </w:rPr>
            </w:pPr>
            <w:r>
              <w:rPr>
                <w:rFonts w:cs="Verdana"/>
                <w:sz w:val="18"/>
                <w:szCs w:val="18"/>
              </w:rPr>
              <w:t xml:space="preserve">Or </w:t>
            </w:r>
            <w:r w:rsidRPr="00E3461B">
              <w:rPr>
                <w:rFonts w:eastAsia="Times New Roman" w:cs="Verdana"/>
                <w:sz w:val="18"/>
                <w:szCs w:val="18"/>
              </w:rPr>
              <w:t>Please clarify, if endoscopy has been shown in adults, can it be waived in children?</w:t>
            </w:r>
          </w:p>
          <w:p w14:paraId="5E6DF90F" w14:textId="77777777" w:rsidR="00236AD4" w:rsidRDefault="00236AD4" w:rsidP="009B1042">
            <w:pPr>
              <w:pStyle w:val="CommentText"/>
            </w:pPr>
          </w:p>
          <w:p w14:paraId="3BF8AA76" w14:textId="77777777" w:rsidR="00236AD4" w:rsidRPr="00F34555" w:rsidRDefault="00236AD4" w:rsidP="009B1042">
            <w:pPr>
              <w:pStyle w:val="CommentText"/>
              <w:rPr>
                <w:rFonts w:cs="Verdana"/>
                <w:sz w:val="18"/>
                <w:szCs w:val="18"/>
              </w:rPr>
            </w:pPr>
            <w:r w:rsidRPr="00F34555">
              <w:rPr>
                <w:sz w:val="18"/>
                <w:szCs w:val="18"/>
              </w:rPr>
              <w:t>Please clarify the circumstances when it is acceptable to waive endoscopy within a trial? Can endoscopy be waived in certain age groups (i.e. under 12 years of age)?</w:t>
            </w:r>
          </w:p>
        </w:tc>
        <w:tc>
          <w:tcPr>
            <w:tcW w:w="1537" w:type="pct"/>
            <w:shd w:val="clear" w:color="auto" w:fill="E1E3F2"/>
          </w:tcPr>
          <w:p w14:paraId="4DB04DED" w14:textId="77777777" w:rsidR="00236AD4" w:rsidRPr="00176E8C" w:rsidRDefault="00236AD4">
            <w:pPr>
              <w:pStyle w:val="TabletextrowsAgency"/>
              <w:rPr>
                <w:b/>
                <w:color w:val="0000FF"/>
              </w:rPr>
            </w:pPr>
          </w:p>
        </w:tc>
      </w:tr>
      <w:tr w:rsidR="00236AD4" w14:paraId="047A1191" w14:textId="77777777">
        <w:tc>
          <w:tcPr>
            <w:tcW w:w="645" w:type="pct"/>
            <w:shd w:val="clear" w:color="auto" w:fill="E1E3F2"/>
          </w:tcPr>
          <w:p w14:paraId="48459F49" w14:textId="77777777" w:rsidR="00236AD4" w:rsidRDefault="00236AD4" w:rsidP="00A4724A">
            <w:pPr>
              <w:pStyle w:val="TabletextrowsAgency"/>
              <w:spacing w:line="240" w:lineRule="auto"/>
            </w:pPr>
            <w:r>
              <w:t>504-519</w:t>
            </w:r>
          </w:p>
        </w:tc>
        <w:tc>
          <w:tcPr>
            <w:tcW w:w="812" w:type="pct"/>
            <w:shd w:val="clear" w:color="auto" w:fill="E1E3F2"/>
          </w:tcPr>
          <w:p w14:paraId="31FC91DB" w14:textId="454168C8" w:rsidR="00236AD4" w:rsidRPr="00893081" w:rsidRDefault="00236AD4" w:rsidP="00A4724A">
            <w:pPr>
              <w:pStyle w:val="TabletextrowsAgency"/>
              <w:spacing w:line="240" w:lineRule="auto"/>
              <w:rPr>
                <w:b/>
              </w:rPr>
            </w:pPr>
          </w:p>
        </w:tc>
        <w:tc>
          <w:tcPr>
            <w:tcW w:w="2006" w:type="pct"/>
            <w:shd w:val="clear" w:color="auto" w:fill="E1E3F2"/>
          </w:tcPr>
          <w:p w14:paraId="41744C56" w14:textId="77777777" w:rsidR="00236AD4" w:rsidRDefault="00236AD4" w:rsidP="00A4724A">
            <w:pPr>
              <w:pStyle w:val="TabletextrowsAgency"/>
              <w:spacing w:line="240" w:lineRule="auto"/>
            </w:pPr>
            <w:r>
              <w:t>When extrapolation is not possible, a non-inferiority trial cannot be operationalized in terms of the choice of the non-inferiority margin.</w:t>
            </w:r>
          </w:p>
          <w:p w14:paraId="25A1478D" w14:textId="77777777" w:rsidR="00236AD4" w:rsidRDefault="00236AD4" w:rsidP="00A4724A">
            <w:pPr>
              <w:pStyle w:val="TabletextrowsAgency"/>
              <w:spacing w:line="240" w:lineRule="auto"/>
            </w:pPr>
          </w:p>
          <w:p w14:paraId="3742AA90" w14:textId="77777777" w:rsidR="00236AD4" w:rsidRDefault="00236AD4" w:rsidP="00A4724A">
            <w:pPr>
              <w:pStyle w:val="TabletextrowsAgency"/>
              <w:spacing w:line="240" w:lineRule="auto"/>
            </w:pPr>
            <w:r w:rsidRPr="00C8686B">
              <w:rPr>
                <w:b/>
              </w:rPr>
              <w:t>Proposed change (if any):</w:t>
            </w:r>
            <w:r>
              <w:t xml:space="preserve"> explain whether the margin can be based on the adult trials (from which extrapolation cannot be used) or other paediatric trial in the same indication.</w:t>
            </w:r>
          </w:p>
        </w:tc>
        <w:tc>
          <w:tcPr>
            <w:tcW w:w="1537" w:type="pct"/>
            <w:shd w:val="clear" w:color="auto" w:fill="E1E3F2"/>
          </w:tcPr>
          <w:p w14:paraId="139634F3" w14:textId="77777777" w:rsidR="00236AD4" w:rsidRPr="00927CD3" w:rsidRDefault="00236AD4">
            <w:pPr>
              <w:pStyle w:val="TabletextrowsAgency"/>
              <w:rPr>
                <w:b/>
                <w:color w:val="0000FF"/>
              </w:rPr>
            </w:pPr>
          </w:p>
        </w:tc>
      </w:tr>
      <w:tr w:rsidR="00236AD4" w14:paraId="62753BF1" w14:textId="77777777">
        <w:tc>
          <w:tcPr>
            <w:tcW w:w="645" w:type="pct"/>
            <w:shd w:val="clear" w:color="auto" w:fill="E1E3F2"/>
          </w:tcPr>
          <w:p w14:paraId="5A009F7F" w14:textId="77777777" w:rsidR="00236AD4" w:rsidRDefault="00236AD4" w:rsidP="00A4724A">
            <w:pPr>
              <w:pStyle w:val="TabletextrowsAgency"/>
              <w:spacing w:line="240" w:lineRule="auto"/>
            </w:pPr>
            <w:r>
              <w:t>505</w:t>
            </w:r>
          </w:p>
        </w:tc>
        <w:tc>
          <w:tcPr>
            <w:tcW w:w="812" w:type="pct"/>
            <w:shd w:val="clear" w:color="auto" w:fill="E1E3F2"/>
          </w:tcPr>
          <w:p w14:paraId="64F3B156" w14:textId="0F3058EE" w:rsidR="00236AD4" w:rsidRPr="00893081" w:rsidRDefault="00236AD4" w:rsidP="00A4724A">
            <w:pPr>
              <w:pStyle w:val="TabletextrowsAgency"/>
              <w:spacing w:line="240" w:lineRule="auto"/>
              <w:rPr>
                <w:b/>
              </w:rPr>
            </w:pPr>
          </w:p>
        </w:tc>
        <w:tc>
          <w:tcPr>
            <w:tcW w:w="2006" w:type="pct"/>
            <w:shd w:val="clear" w:color="auto" w:fill="E1E3F2"/>
          </w:tcPr>
          <w:p w14:paraId="73E72727" w14:textId="77777777" w:rsidR="00236AD4" w:rsidRPr="00402A14" w:rsidRDefault="00236AD4" w:rsidP="00A4724A">
            <w:pPr>
              <w:pStyle w:val="TabletextrowsAgency"/>
              <w:spacing w:line="240" w:lineRule="auto"/>
            </w:pPr>
            <w:r w:rsidRPr="00C8686B">
              <w:rPr>
                <w:b/>
              </w:rPr>
              <w:t>Comment:</w:t>
            </w:r>
            <w:r>
              <w:t xml:space="preserve">  Please consider the current joint ESPGHAN/ECCO/</w:t>
            </w:r>
            <w:proofErr w:type="spellStart"/>
            <w:r>
              <w:t>PIBDnet</w:t>
            </w:r>
            <w:proofErr w:type="spellEnd"/>
            <w:r>
              <w:t xml:space="preserve">/Canadian Children IBD Network position statement on placebos in </w:t>
            </w:r>
            <w:proofErr w:type="spellStart"/>
            <w:r>
              <w:t>pediatric</w:t>
            </w:r>
            <w:proofErr w:type="spellEnd"/>
            <w:r>
              <w:t xml:space="preserve"> IBD clinical trials. Turner </w:t>
            </w:r>
            <w:r>
              <w:rPr>
                <w:i/>
              </w:rPr>
              <w:t xml:space="preserve">et al. J </w:t>
            </w:r>
            <w:proofErr w:type="spellStart"/>
            <w:r>
              <w:rPr>
                <w:i/>
              </w:rPr>
              <w:t>Ped</w:t>
            </w:r>
            <w:proofErr w:type="spellEnd"/>
            <w:r>
              <w:rPr>
                <w:i/>
              </w:rPr>
              <w:t xml:space="preserve"> </w:t>
            </w:r>
            <w:proofErr w:type="spellStart"/>
            <w:r>
              <w:rPr>
                <w:i/>
              </w:rPr>
              <w:t>Gastroenterol</w:t>
            </w:r>
            <w:proofErr w:type="spellEnd"/>
            <w:r>
              <w:rPr>
                <w:i/>
              </w:rPr>
              <w:t xml:space="preserve"> </w:t>
            </w:r>
            <w:proofErr w:type="spellStart"/>
            <w:r>
              <w:rPr>
                <w:i/>
              </w:rPr>
              <w:t>Nutr</w:t>
            </w:r>
            <w:proofErr w:type="spellEnd"/>
            <w:r>
              <w:t xml:space="preserve"> 2016.  </w:t>
            </w:r>
            <w:proofErr w:type="spellStart"/>
            <w:r>
              <w:t>Pediatricians</w:t>
            </w:r>
            <w:proofErr w:type="spellEnd"/>
            <w:r>
              <w:t xml:space="preserve"> will only support the use of placebos in </w:t>
            </w:r>
            <w:proofErr w:type="spellStart"/>
            <w:r>
              <w:t>pediatric</w:t>
            </w:r>
            <w:proofErr w:type="spellEnd"/>
            <w:r>
              <w:t xml:space="preserve"> IBD studies where there is genuine equipoise between active treatment and placebo.</w:t>
            </w:r>
          </w:p>
          <w:p w14:paraId="05D5E720" w14:textId="77777777" w:rsidR="00236AD4" w:rsidRDefault="00236AD4" w:rsidP="00A4724A">
            <w:pPr>
              <w:pStyle w:val="TabletextrowsAgency"/>
              <w:spacing w:line="240" w:lineRule="auto"/>
            </w:pPr>
          </w:p>
          <w:p w14:paraId="7A107616" w14:textId="77777777" w:rsidR="00236AD4" w:rsidRDefault="00236AD4" w:rsidP="00A4724A">
            <w:pPr>
              <w:pStyle w:val="TabletextrowsAgency"/>
              <w:spacing w:line="240" w:lineRule="auto"/>
            </w:pPr>
            <w:r w:rsidRPr="00C8686B">
              <w:rPr>
                <w:b/>
              </w:rPr>
              <w:t>Proposed change (if any):</w:t>
            </w:r>
            <w:r>
              <w:t xml:space="preserve"> The paragraph on placebos in </w:t>
            </w:r>
            <w:proofErr w:type="spellStart"/>
            <w:r>
              <w:t>pediatric</w:t>
            </w:r>
            <w:proofErr w:type="spellEnd"/>
            <w:r>
              <w:t xml:space="preserve"> studies may have to be re-written to reflect current expert guidance. </w:t>
            </w:r>
          </w:p>
        </w:tc>
        <w:tc>
          <w:tcPr>
            <w:tcW w:w="1537" w:type="pct"/>
            <w:shd w:val="clear" w:color="auto" w:fill="E1E3F2"/>
          </w:tcPr>
          <w:p w14:paraId="648F246C" w14:textId="77777777" w:rsidR="00236AD4" w:rsidRPr="00927CD3" w:rsidRDefault="00236AD4">
            <w:pPr>
              <w:pStyle w:val="TabletextrowsAgency"/>
              <w:rPr>
                <w:b/>
                <w:color w:val="0000FF"/>
              </w:rPr>
            </w:pPr>
          </w:p>
        </w:tc>
      </w:tr>
      <w:tr w:rsidR="00236AD4" w14:paraId="4856EA14" w14:textId="77777777">
        <w:tc>
          <w:tcPr>
            <w:tcW w:w="645" w:type="pct"/>
            <w:shd w:val="clear" w:color="auto" w:fill="E1E3F2"/>
          </w:tcPr>
          <w:p w14:paraId="46897E4B" w14:textId="77777777" w:rsidR="00236AD4" w:rsidRDefault="00236AD4" w:rsidP="00A4724A">
            <w:pPr>
              <w:pStyle w:val="TabletextrowsAgency"/>
              <w:spacing w:line="240" w:lineRule="auto"/>
            </w:pPr>
            <w:r>
              <w:t>515-516</w:t>
            </w:r>
          </w:p>
        </w:tc>
        <w:tc>
          <w:tcPr>
            <w:tcW w:w="812" w:type="pct"/>
            <w:shd w:val="clear" w:color="auto" w:fill="E1E3F2"/>
          </w:tcPr>
          <w:p w14:paraId="23BED2BF" w14:textId="4CD0611A" w:rsidR="00236AD4" w:rsidRDefault="00236AD4" w:rsidP="00A4724A">
            <w:pPr>
              <w:pStyle w:val="TabletextrowsAgency"/>
              <w:spacing w:line="240" w:lineRule="auto"/>
            </w:pPr>
          </w:p>
        </w:tc>
        <w:tc>
          <w:tcPr>
            <w:tcW w:w="2006" w:type="pct"/>
            <w:shd w:val="clear" w:color="auto" w:fill="E1E3F2"/>
          </w:tcPr>
          <w:p w14:paraId="6AA7B882" w14:textId="77777777" w:rsidR="00236AD4" w:rsidRPr="00E3461B" w:rsidRDefault="00236AD4" w:rsidP="00A4724A">
            <w:pPr>
              <w:pStyle w:val="CommentText"/>
              <w:rPr>
                <w:rFonts w:eastAsia="Times New Roman" w:cs="Verdana"/>
                <w:sz w:val="18"/>
                <w:szCs w:val="18"/>
              </w:rPr>
            </w:pPr>
            <w:r w:rsidRPr="00E3461B">
              <w:rPr>
                <w:rFonts w:eastAsia="Times New Roman" w:cs="Verdana"/>
                <w:b/>
                <w:sz w:val="18"/>
                <w:szCs w:val="18"/>
              </w:rPr>
              <w:t>Comment:</w:t>
            </w:r>
            <w:r w:rsidRPr="00E3461B">
              <w:rPr>
                <w:rFonts w:eastAsia="Times New Roman" w:cs="Verdana"/>
                <w:sz w:val="18"/>
                <w:szCs w:val="18"/>
              </w:rPr>
              <w:t xml:space="preserve"> Please clarify, what is the risk of “lack of efficacy”?</w:t>
            </w:r>
          </w:p>
          <w:p w14:paraId="3F5E4C3C" w14:textId="77777777" w:rsidR="00236AD4" w:rsidRPr="007C6F92" w:rsidRDefault="00236AD4" w:rsidP="00A4724A">
            <w:pPr>
              <w:pStyle w:val="TabletextrowsAgency"/>
              <w:spacing w:line="240" w:lineRule="auto"/>
            </w:pPr>
          </w:p>
          <w:p w14:paraId="1F9F810D" w14:textId="77777777" w:rsidR="00236AD4" w:rsidRPr="002A6DC3" w:rsidRDefault="00236AD4" w:rsidP="00A4724A">
            <w:pPr>
              <w:pStyle w:val="TabletextrowsAgency"/>
              <w:spacing w:line="240" w:lineRule="auto"/>
              <w:rPr>
                <w:b/>
              </w:rPr>
            </w:pPr>
            <w:r w:rsidRPr="002A6DC3">
              <w:rPr>
                <w:b/>
              </w:rPr>
              <w:t>Proposed change (if any):</w:t>
            </w:r>
          </w:p>
          <w:p w14:paraId="45268EBD" w14:textId="77777777" w:rsidR="00236AD4" w:rsidRPr="007C6F92" w:rsidRDefault="00236AD4" w:rsidP="00A4724A">
            <w:pPr>
              <w:pStyle w:val="TabletextrowsAgency"/>
              <w:spacing w:line="240" w:lineRule="auto"/>
            </w:pPr>
            <w:r>
              <w:t xml:space="preserve">“In case the use of placebo control group is considered necessary, </w:t>
            </w:r>
            <w:r w:rsidRPr="001D0967">
              <w:rPr>
                <w:b/>
              </w:rPr>
              <w:t>where there is no data from adults</w:t>
            </w:r>
            <w:r>
              <w:rPr>
                <w:b/>
              </w:rPr>
              <w:t xml:space="preserve">, </w:t>
            </w:r>
            <w:r>
              <w:t>all efforts need to be made to assure that the patient is not exposed to more than minimal risk”.</w:t>
            </w:r>
          </w:p>
        </w:tc>
        <w:tc>
          <w:tcPr>
            <w:tcW w:w="1537" w:type="pct"/>
            <w:shd w:val="clear" w:color="auto" w:fill="E1E3F2"/>
          </w:tcPr>
          <w:p w14:paraId="733EB948" w14:textId="77777777" w:rsidR="00236AD4" w:rsidRPr="00927CD3" w:rsidRDefault="00236AD4">
            <w:pPr>
              <w:pStyle w:val="TabletextrowsAgency"/>
              <w:rPr>
                <w:b/>
                <w:color w:val="0000FF"/>
              </w:rPr>
            </w:pPr>
          </w:p>
        </w:tc>
      </w:tr>
      <w:tr w:rsidR="00236AD4" w14:paraId="5B248B1D" w14:textId="77777777">
        <w:tc>
          <w:tcPr>
            <w:tcW w:w="645" w:type="pct"/>
            <w:shd w:val="clear" w:color="auto" w:fill="E1E3F2"/>
          </w:tcPr>
          <w:p w14:paraId="495EE2E6" w14:textId="77777777" w:rsidR="00236AD4" w:rsidRDefault="00236AD4" w:rsidP="0068392C">
            <w:pPr>
              <w:pStyle w:val="TabletextrowsAgency"/>
              <w:spacing w:line="240" w:lineRule="auto"/>
            </w:pPr>
            <w:r>
              <w:t>520-521</w:t>
            </w:r>
          </w:p>
        </w:tc>
        <w:tc>
          <w:tcPr>
            <w:tcW w:w="812" w:type="pct"/>
            <w:shd w:val="clear" w:color="auto" w:fill="E1E3F2"/>
          </w:tcPr>
          <w:p w14:paraId="58335F08" w14:textId="7129F696" w:rsidR="00236AD4" w:rsidRPr="0068392C" w:rsidRDefault="00236AD4" w:rsidP="0068392C">
            <w:pPr>
              <w:pStyle w:val="TabletextrowsAgency"/>
              <w:spacing w:line="240" w:lineRule="auto"/>
              <w:rPr>
                <w:b/>
              </w:rPr>
            </w:pPr>
          </w:p>
        </w:tc>
        <w:tc>
          <w:tcPr>
            <w:tcW w:w="2006" w:type="pct"/>
            <w:shd w:val="clear" w:color="auto" w:fill="E1E3F2"/>
          </w:tcPr>
          <w:p w14:paraId="45D188B4" w14:textId="77777777" w:rsidR="00236AD4" w:rsidRDefault="00236AD4" w:rsidP="0068392C">
            <w:pPr>
              <w:pStyle w:val="TabletextrowsAgency"/>
              <w:spacing w:line="240" w:lineRule="auto"/>
            </w:pPr>
            <w:r w:rsidRPr="28F67FB4">
              <w:rPr>
                <w:b/>
                <w:bCs/>
              </w:rPr>
              <w:t xml:space="preserve">Comment: </w:t>
            </w:r>
            <w:r w:rsidRPr="006E6153">
              <w:rPr>
                <w:bCs/>
              </w:rPr>
              <w:t xml:space="preserve">The guidance states </w:t>
            </w:r>
            <w:r>
              <w:t xml:space="preserve">that in </w:t>
            </w:r>
            <w:proofErr w:type="spellStart"/>
            <w:r>
              <w:t>pediatric</w:t>
            </w:r>
            <w:proofErr w:type="spellEnd"/>
            <w:r>
              <w:t xml:space="preserve"> trials, combined induction and maintenance trials can be accepted (as opposed to what was stated for trials in adults).  Are these combined trials in children allowed without re-randomization to continued study drug vs. withdrawal to placebo in the maintenance phase?</w:t>
            </w:r>
            <w:r w:rsidRPr="00E3461B">
              <w:t xml:space="preserve"> Please provide further guidance.</w:t>
            </w:r>
          </w:p>
        </w:tc>
        <w:tc>
          <w:tcPr>
            <w:tcW w:w="1537" w:type="pct"/>
            <w:shd w:val="clear" w:color="auto" w:fill="E1E3F2"/>
          </w:tcPr>
          <w:p w14:paraId="12763038" w14:textId="77777777" w:rsidR="00236AD4" w:rsidRPr="00927CD3" w:rsidRDefault="00236AD4">
            <w:pPr>
              <w:pStyle w:val="TabletextrowsAgency"/>
              <w:rPr>
                <w:b/>
                <w:color w:val="0000FF"/>
              </w:rPr>
            </w:pPr>
          </w:p>
        </w:tc>
      </w:tr>
      <w:tr w:rsidR="00236AD4" w14:paraId="506A09A0" w14:textId="77777777">
        <w:tc>
          <w:tcPr>
            <w:tcW w:w="645" w:type="pct"/>
            <w:shd w:val="clear" w:color="auto" w:fill="E1E3F2"/>
          </w:tcPr>
          <w:p w14:paraId="23F9CF46" w14:textId="77777777" w:rsidR="00236AD4" w:rsidRDefault="00236AD4" w:rsidP="00A4724A">
            <w:pPr>
              <w:pStyle w:val="TabletextrowsAgency"/>
              <w:spacing w:line="240" w:lineRule="auto"/>
            </w:pPr>
            <w:r>
              <w:t>536-538</w:t>
            </w:r>
          </w:p>
        </w:tc>
        <w:tc>
          <w:tcPr>
            <w:tcW w:w="812" w:type="pct"/>
            <w:shd w:val="clear" w:color="auto" w:fill="E1E3F2"/>
          </w:tcPr>
          <w:p w14:paraId="41916DF2" w14:textId="18404231" w:rsidR="00236AD4" w:rsidRDefault="00236AD4" w:rsidP="00A4724A">
            <w:pPr>
              <w:pStyle w:val="TabletextrowsAgency"/>
              <w:spacing w:line="240" w:lineRule="auto"/>
            </w:pPr>
          </w:p>
        </w:tc>
        <w:tc>
          <w:tcPr>
            <w:tcW w:w="2006" w:type="pct"/>
            <w:shd w:val="clear" w:color="auto" w:fill="E1E3F2"/>
          </w:tcPr>
          <w:p w14:paraId="0333BBA1" w14:textId="77777777" w:rsidR="00236AD4" w:rsidRDefault="00236AD4" w:rsidP="00A4724A">
            <w:pPr>
              <w:pStyle w:val="CommentText"/>
              <w:rPr>
                <w:rFonts w:eastAsia="Times New Roman" w:cs="Verdana"/>
                <w:sz w:val="18"/>
                <w:szCs w:val="18"/>
              </w:rPr>
            </w:pPr>
            <w:r w:rsidRPr="00E3461B">
              <w:rPr>
                <w:rFonts w:eastAsia="Times New Roman" w:cs="Verdana"/>
                <w:b/>
                <w:sz w:val="18"/>
                <w:szCs w:val="18"/>
              </w:rPr>
              <w:t xml:space="preserve">Comment: </w:t>
            </w:r>
            <w:r w:rsidRPr="00E3461B">
              <w:rPr>
                <w:rFonts w:eastAsia="Times New Roman" w:cs="Verdana"/>
                <w:sz w:val="18"/>
                <w:szCs w:val="18"/>
              </w:rPr>
              <w:t xml:space="preserve">Not all mechanisms of action for the treatment of Ulcerative Colitis may impact adaptive immunity. If preclinical data exist demonstrating that vaccination responses are not affected this should suffice. </w:t>
            </w:r>
            <w:r w:rsidRPr="00E3461B">
              <w:rPr>
                <w:rFonts w:eastAsia="Times New Roman" w:cs="Verdana"/>
                <w:sz w:val="18"/>
                <w:szCs w:val="18"/>
              </w:rPr>
              <w:br/>
            </w:r>
          </w:p>
          <w:p w14:paraId="72B1B360" w14:textId="77777777" w:rsidR="00236AD4" w:rsidRPr="00E3461B" w:rsidRDefault="00236AD4" w:rsidP="00A4724A">
            <w:pPr>
              <w:pStyle w:val="CommentText"/>
              <w:rPr>
                <w:rFonts w:eastAsia="Times New Roman" w:cs="Verdana"/>
                <w:sz w:val="18"/>
                <w:szCs w:val="18"/>
              </w:rPr>
            </w:pPr>
            <w:r w:rsidRPr="00E3461B">
              <w:rPr>
                <w:rFonts w:eastAsia="Times New Roman" w:cs="Verdana"/>
                <w:sz w:val="18"/>
                <w:szCs w:val="18"/>
              </w:rPr>
              <w:t>We suggest removing the requirement that studies evaluate impact on vaccination of all drugs with new mechanism of action, and limit to drugs interfering with adaptive immune response only where preclinical data suggest increased risk of failed vaccination.</w:t>
            </w:r>
          </w:p>
        </w:tc>
        <w:tc>
          <w:tcPr>
            <w:tcW w:w="1537" w:type="pct"/>
            <w:shd w:val="clear" w:color="auto" w:fill="E1E3F2"/>
          </w:tcPr>
          <w:p w14:paraId="263B6A4E" w14:textId="77777777" w:rsidR="00236AD4" w:rsidRPr="00927CD3" w:rsidRDefault="00236AD4">
            <w:pPr>
              <w:pStyle w:val="TabletextrowsAgency"/>
              <w:rPr>
                <w:b/>
                <w:color w:val="0000FF"/>
              </w:rPr>
            </w:pPr>
          </w:p>
        </w:tc>
      </w:tr>
      <w:tr w:rsidR="00236AD4" w14:paraId="467B63EC" w14:textId="77777777">
        <w:tc>
          <w:tcPr>
            <w:tcW w:w="645" w:type="pct"/>
            <w:shd w:val="clear" w:color="auto" w:fill="E1E3F2"/>
          </w:tcPr>
          <w:p w14:paraId="0F00306B" w14:textId="77777777" w:rsidR="00236AD4" w:rsidRDefault="00236AD4" w:rsidP="00A4724A">
            <w:pPr>
              <w:pStyle w:val="TabletextrowsAgency"/>
              <w:spacing w:line="240" w:lineRule="auto"/>
            </w:pPr>
            <w:r>
              <w:t>542-543</w:t>
            </w:r>
          </w:p>
        </w:tc>
        <w:tc>
          <w:tcPr>
            <w:tcW w:w="812" w:type="pct"/>
            <w:shd w:val="clear" w:color="auto" w:fill="E1E3F2"/>
          </w:tcPr>
          <w:p w14:paraId="154E44ED" w14:textId="27907F8A" w:rsidR="00236AD4" w:rsidRDefault="00236AD4" w:rsidP="00A4724A">
            <w:pPr>
              <w:pStyle w:val="TabletextrowsAgency"/>
              <w:spacing w:line="240" w:lineRule="auto"/>
            </w:pPr>
          </w:p>
        </w:tc>
        <w:tc>
          <w:tcPr>
            <w:tcW w:w="2006" w:type="pct"/>
            <w:shd w:val="clear" w:color="auto" w:fill="E1E3F2"/>
          </w:tcPr>
          <w:p w14:paraId="76B6F995" w14:textId="77777777" w:rsidR="00236AD4" w:rsidRPr="00B847D1" w:rsidRDefault="00236AD4" w:rsidP="00B847D1">
            <w:pPr>
              <w:pStyle w:val="CommentText"/>
              <w:rPr>
                <w:rFonts w:eastAsia="Times New Roman" w:cs="Verdana"/>
                <w:sz w:val="18"/>
                <w:szCs w:val="18"/>
              </w:rPr>
            </w:pPr>
            <w:r w:rsidRPr="00E3461B">
              <w:rPr>
                <w:rFonts w:eastAsia="Times New Roman" w:cs="Verdana"/>
                <w:b/>
                <w:sz w:val="18"/>
                <w:szCs w:val="18"/>
              </w:rPr>
              <w:t>Comment:</w:t>
            </w:r>
            <w:r w:rsidRPr="00E3461B">
              <w:rPr>
                <w:rFonts w:eastAsia="Times New Roman" w:cs="Verdana"/>
                <w:sz w:val="18"/>
                <w:szCs w:val="18"/>
              </w:rPr>
              <w:t xml:space="preserve"> Please clarify </w:t>
            </w:r>
            <w:r>
              <w:rPr>
                <w:rFonts w:eastAsia="Times New Roman" w:cs="Verdana"/>
                <w:sz w:val="18"/>
                <w:szCs w:val="18"/>
              </w:rPr>
              <w:t xml:space="preserve">“ if a cross company registry” </w:t>
            </w:r>
            <w:r w:rsidRPr="00E3461B">
              <w:rPr>
                <w:rFonts w:eastAsia="Times New Roman" w:cs="Verdana"/>
                <w:sz w:val="18"/>
                <w:szCs w:val="18"/>
              </w:rPr>
              <w:t>or a “cross paediatric GI registry established by a professional organisation such as ECCO” is intended</w:t>
            </w:r>
          </w:p>
        </w:tc>
        <w:tc>
          <w:tcPr>
            <w:tcW w:w="1537" w:type="pct"/>
            <w:shd w:val="clear" w:color="auto" w:fill="E1E3F2"/>
          </w:tcPr>
          <w:p w14:paraId="6491BFE3" w14:textId="77777777" w:rsidR="00236AD4" w:rsidRPr="00927CD3" w:rsidRDefault="00236AD4">
            <w:pPr>
              <w:pStyle w:val="TabletextrowsAgency"/>
              <w:rPr>
                <w:b/>
                <w:color w:val="0000FF"/>
              </w:rPr>
            </w:pPr>
          </w:p>
        </w:tc>
      </w:tr>
      <w:tr w:rsidR="00236AD4" w14:paraId="7B0330CE" w14:textId="77777777">
        <w:tc>
          <w:tcPr>
            <w:tcW w:w="645" w:type="pct"/>
            <w:shd w:val="clear" w:color="auto" w:fill="E1E3F2"/>
          </w:tcPr>
          <w:p w14:paraId="06B52343" w14:textId="77777777" w:rsidR="00236AD4" w:rsidRDefault="00236AD4" w:rsidP="00A4724A">
            <w:pPr>
              <w:pStyle w:val="TabletextrowsAgency"/>
              <w:spacing w:line="240" w:lineRule="auto"/>
            </w:pPr>
            <w:r>
              <w:t>Sections 8.3.1.1 – 8.3.1.5</w:t>
            </w:r>
          </w:p>
        </w:tc>
        <w:tc>
          <w:tcPr>
            <w:tcW w:w="812" w:type="pct"/>
            <w:shd w:val="clear" w:color="auto" w:fill="E1E3F2"/>
          </w:tcPr>
          <w:p w14:paraId="6E16829A" w14:textId="6DA6FAE3" w:rsidR="00236AD4" w:rsidRPr="00176D9F" w:rsidRDefault="00236AD4" w:rsidP="00A4724A">
            <w:pPr>
              <w:pStyle w:val="TabletextrowsAgency"/>
              <w:spacing w:line="240" w:lineRule="auto"/>
              <w:rPr>
                <w:b/>
              </w:rPr>
            </w:pPr>
          </w:p>
        </w:tc>
        <w:tc>
          <w:tcPr>
            <w:tcW w:w="2006" w:type="pct"/>
            <w:shd w:val="clear" w:color="auto" w:fill="E1E3F2"/>
          </w:tcPr>
          <w:p w14:paraId="709D2FCD" w14:textId="77777777" w:rsidR="00236AD4" w:rsidRDefault="00236AD4" w:rsidP="00A4724A">
            <w:pPr>
              <w:pStyle w:val="TabletextrowsAgency"/>
              <w:spacing w:line="240" w:lineRule="auto"/>
            </w:pPr>
            <w:r w:rsidRPr="00A733EC">
              <w:rPr>
                <w:b/>
              </w:rPr>
              <w:t>Comment:</w:t>
            </w:r>
            <w:r>
              <w:rPr>
                <w:b/>
              </w:rPr>
              <w:t xml:space="preserve"> </w:t>
            </w:r>
            <w:r>
              <w:t>Further clarification on whether these sections apply to above 10 years old patients’ needs to be provided. Older adolescents (14 and older) could be included in the adult development studies. If the sections apply to 2 – 10 year olds (as understood per introductory statements to Section 8.3.1), such studies may face feasibility issues.</w:t>
            </w:r>
          </w:p>
        </w:tc>
        <w:tc>
          <w:tcPr>
            <w:tcW w:w="1537" w:type="pct"/>
            <w:shd w:val="clear" w:color="auto" w:fill="E1E3F2"/>
          </w:tcPr>
          <w:p w14:paraId="593FAE01" w14:textId="77777777" w:rsidR="00236AD4" w:rsidRPr="00927CD3" w:rsidRDefault="00236AD4">
            <w:pPr>
              <w:pStyle w:val="TabletextrowsAgency"/>
              <w:rPr>
                <w:b/>
                <w:color w:val="0000FF"/>
              </w:rPr>
            </w:pPr>
          </w:p>
        </w:tc>
      </w:tr>
    </w:tbl>
    <w:p w14:paraId="447443E0" w14:textId="77777777" w:rsidR="00BD733E" w:rsidRDefault="005D6621">
      <w:pPr>
        <w:pStyle w:val="TableFigurenoteAgency"/>
      </w:pPr>
      <w:r>
        <w:t>Please add more rows if needed.</w:t>
      </w:r>
    </w:p>
    <w:p w14:paraId="3B5CB7BA" w14:textId="77777777" w:rsidR="005D6621" w:rsidRPr="00BD733E" w:rsidRDefault="00BD733E" w:rsidP="00BD733E">
      <w:pPr>
        <w:pStyle w:val="BodytextAgency"/>
        <w:rPr>
          <w:sz w:val="16"/>
          <w:szCs w:val="16"/>
        </w:rPr>
      </w:pPr>
      <w:r>
        <w:br w:type="page"/>
      </w:r>
    </w:p>
    <w:p w14:paraId="6F011BC1" w14:textId="77777777" w:rsidR="00BD733E" w:rsidRDefault="00BD733E" w:rsidP="00BD733E">
      <w:pPr>
        <w:pStyle w:val="Heading1Agency"/>
      </w:pPr>
      <w:r>
        <w:t>Specific comments on text – Minor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7"/>
        <w:gridCol w:w="2431"/>
        <w:gridCol w:w="5941"/>
        <w:gridCol w:w="4507"/>
      </w:tblGrid>
      <w:tr w:rsidR="004A0B3B" w14:paraId="3EAC2875" w14:textId="77777777" w:rsidTr="004A0B3B">
        <w:trPr>
          <w:tblHeader/>
        </w:trPr>
        <w:tc>
          <w:tcPr>
            <w:tcW w:w="645" w:type="pct"/>
            <w:tcBorders>
              <w:top w:val="nil"/>
              <w:left w:val="nil"/>
              <w:bottom w:val="nil"/>
              <w:right w:val="nil"/>
            </w:tcBorders>
            <w:shd w:val="clear" w:color="auto" w:fill="003399"/>
          </w:tcPr>
          <w:p w14:paraId="1892BC5E" w14:textId="77777777" w:rsidR="004A0B3B" w:rsidRDefault="004A0B3B" w:rsidP="004A0B3B">
            <w:pPr>
              <w:pStyle w:val="TableheadingrowsAgency"/>
              <w:rPr>
                <w:b w:val="0"/>
              </w:rPr>
            </w:pPr>
            <w:r>
              <w:rPr>
                <w:b w:val="0"/>
              </w:rPr>
              <w:t>Line number(s) of the relevant text</w:t>
            </w:r>
          </w:p>
          <w:p w14:paraId="5051225C" w14:textId="77777777" w:rsidR="004A0B3B" w:rsidRPr="004A0B3B" w:rsidRDefault="004A0B3B" w:rsidP="004A0B3B">
            <w:pPr>
              <w:pStyle w:val="TableheadingrowsAgency"/>
              <w:rPr>
                <w:bCs/>
                <w:color w:val="00B050"/>
              </w:rPr>
            </w:pPr>
            <w:r>
              <w:rPr>
                <w:i/>
                <w:color w:val="339966"/>
              </w:rPr>
              <w:t>(e.g. Lines 20-23)</w:t>
            </w:r>
          </w:p>
        </w:tc>
        <w:tc>
          <w:tcPr>
            <w:tcW w:w="822" w:type="pct"/>
            <w:tcBorders>
              <w:top w:val="nil"/>
              <w:left w:val="nil"/>
              <w:bottom w:val="nil"/>
              <w:right w:val="nil"/>
            </w:tcBorders>
            <w:shd w:val="clear" w:color="auto" w:fill="003399"/>
          </w:tcPr>
          <w:p w14:paraId="53A016D0" w14:textId="77777777" w:rsidR="004A0B3B" w:rsidRDefault="004A0B3B" w:rsidP="004A0B3B">
            <w:pPr>
              <w:pStyle w:val="TableheadingrowsAgency"/>
              <w:rPr>
                <w:b w:val="0"/>
              </w:rPr>
            </w:pPr>
            <w:r>
              <w:rPr>
                <w:b w:val="0"/>
              </w:rPr>
              <w:t>Stakeholder number</w:t>
            </w:r>
          </w:p>
          <w:p w14:paraId="3F97F8E9" w14:textId="77777777" w:rsidR="004A0B3B" w:rsidRDefault="004A0B3B" w:rsidP="004A0B3B">
            <w:pPr>
              <w:pStyle w:val="TableheadingrowsAgency"/>
              <w:rPr>
                <w:b w:val="0"/>
                <w:bCs/>
              </w:rPr>
            </w:pPr>
            <w:r>
              <w:rPr>
                <w:i/>
                <w:color w:val="339966"/>
              </w:rPr>
              <w:t>(To be completed by the Agency)</w:t>
            </w:r>
          </w:p>
        </w:tc>
        <w:tc>
          <w:tcPr>
            <w:tcW w:w="2009" w:type="pct"/>
            <w:tcBorders>
              <w:top w:val="nil"/>
              <w:left w:val="nil"/>
              <w:bottom w:val="nil"/>
              <w:right w:val="nil"/>
            </w:tcBorders>
            <w:shd w:val="clear" w:color="auto" w:fill="003399"/>
          </w:tcPr>
          <w:p w14:paraId="4434EA32" w14:textId="77777777" w:rsidR="004A0B3B" w:rsidRDefault="004A0B3B" w:rsidP="004A0B3B">
            <w:pPr>
              <w:pStyle w:val="TableheadingrowsAgency"/>
              <w:rPr>
                <w:b w:val="0"/>
              </w:rPr>
            </w:pPr>
            <w:r>
              <w:rPr>
                <w:b w:val="0"/>
              </w:rPr>
              <w:t>Comment and rationale; proposed changes</w:t>
            </w:r>
          </w:p>
          <w:p w14:paraId="3D095B0D" w14:textId="77777777" w:rsidR="004A0B3B" w:rsidRDefault="004A0B3B" w:rsidP="004A0B3B">
            <w:pPr>
              <w:pStyle w:val="TableheadingrowsAgency"/>
              <w:rPr>
                <w:b w:val="0"/>
                <w:bCs/>
                <w:i/>
                <w:color w:val="339966"/>
              </w:rPr>
            </w:pPr>
            <w:r>
              <w:rPr>
                <w:i/>
                <w:color w:val="339966"/>
              </w:rPr>
              <w:t>(If changes to the wording are suggested, they should be highlighted using 'track changes')</w:t>
            </w:r>
          </w:p>
        </w:tc>
        <w:tc>
          <w:tcPr>
            <w:tcW w:w="1524" w:type="pct"/>
            <w:tcBorders>
              <w:top w:val="nil"/>
              <w:left w:val="nil"/>
              <w:bottom w:val="nil"/>
              <w:right w:val="nil"/>
            </w:tcBorders>
            <w:shd w:val="clear" w:color="auto" w:fill="003399"/>
          </w:tcPr>
          <w:p w14:paraId="2AF6E83A" w14:textId="77777777" w:rsidR="004A0B3B" w:rsidRDefault="004A0B3B" w:rsidP="004A0B3B">
            <w:pPr>
              <w:pStyle w:val="TableheadingrowsAgency"/>
              <w:rPr>
                <w:b w:val="0"/>
              </w:rPr>
            </w:pPr>
            <w:r>
              <w:rPr>
                <w:b w:val="0"/>
              </w:rPr>
              <w:t>Outcome</w:t>
            </w:r>
          </w:p>
          <w:p w14:paraId="5D37BF20" w14:textId="77777777" w:rsidR="004A0B3B" w:rsidRDefault="004A0B3B" w:rsidP="004A0B3B">
            <w:pPr>
              <w:pStyle w:val="TableheadingrowsAgency"/>
              <w:rPr>
                <w:b w:val="0"/>
                <w:bCs/>
              </w:rPr>
            </w:pPr>
            <w:r>
              <w:rPr>
                <w:i/>
                <w:color w:val="339966"/>
              </w:rPr>
              <w:t>(To be completed by the Agency)</w:t>
            </w:r>
          </w:p>
        </w:tc>
      </w:tr>
      <w:tr w:rsidR="004A0B3B" w:rsidRPr="00F73253" w14:paraId="734AC838" w14:textId="77777777" w:rsidTr="004A0B3B">
        <w:tc>
          <w:tcPr>
            <w:tcW w:w="645" w:type="pct"/>
            <w:shd w:val="clear" w:color="auto" w:fill="E1E3F2"/>
          </w:tcPr>
          <w:p w14:paraId="6D98F7AD" w14:textId="77777777" w:rsidR="004A0B3B" w:rsidRPr="00561BA0" w:rsidRDefault="004A0B3B" w:rsidP="00BD733E">
            <w:pPr>
              <w:pStyle w:val="TabletextrowsAgency"/>
              <w:spacing w:line="240" w:lineRule="auto"/>
            </w:pPr>
            <w:r>
              <w:t>11</w:t>
            </w:r>
          </w:p>
        </w:tc>
        <w:tc>
          <w:tcPr>
            <w:tcW w:w="822" w:type="pct"/>
            <w:shd w:val="clear" w:color="auto" w:fill="E1E3F2"/>
          </w:tcPr>
          <w:p w14:paraId="2062AC9F" w14:textId="59E9B697" w:rsidR="004A0B3B" w:rsidRPr="00697D30" w:rsidRDefault="004A0B3B" w:rsidP="00BD733E">
            <w:pPr>
              <w:pStyle w:val="TabletextrowsAgency"/>
              <w:spacing w:line="240" w:lineRule="auto"/>
              <w:rPr>
                <w:b/>
              </w:rPr>
            </w:pPr>
          </w:p>
        </w:tc>
        <w:tc>
          <w:tcPr>
            <w:tcW w:w="2009" w:type="pct"/>
            <w:shd w:val="clear" w:color="auto" w:fill="E1E3F2"/>
          </w:tcPr>
          <w:p w14:paraId="04852482" w14:textId="77777777" w:rsidR="004A0B3B" w:rsidRDefault="004A0B3B" w:rsidP="00BD733E">
            <w:pPr>
              <w:pStyle w:val="TabletextrowsAgency"/>
              <w:spacing w:line="240" w:lineRule="auto"/>
            </w:pPr>
            <w:r w:rsidRPr="00A733EC">
              <w:rPr>
                <w:b/>
              </w:rPr>
              <w:t>Comment:</w:t>
            </w:r>
            <w:r>
              <w:t xml:space="preserve"> Suggest to add ‘ulcerative colitis’</w:t>
            </w:r>
          </w:p>
        </w:tc>
        <w:tc>
          <w:tcPr>
            <w:tcW w:w="1524" w:type="pct"/>
            <w:shd w:val="clear" w:color="auto" w:fill="E1E3F2"/>
          </w:tcPr>
          <w:p w14:paraId="02D6536A" w14:textId="77777777" w:rsidR="004A0B3B" w:rsidRPr="00A733EC" w:rsidRDefault="004A0B3B" w:rsidP="00BD733E">
            <w:pPr>
              <w:pStyle w:val="TabletextrowsAgency"/>
              <w:spacing w:line="240" w:lineRule="auto"/>
              <w:rPr>
                <w:b/>
              </w:rPr>
            </w:pPr>
          </w:p>
        </w:tc>
      </w:tr>
      <w:tr w:rsidR="004A0B3B" w14:paraId="4F59ACB8" w14:textId="77777777" w:rsidTr="004A0B3B">
        <w:tc>
          <w:tcPr>
            <w:tcW w:w="645" w:type="pct"/>
            <w:shd w:val="clear" w:color="auto" w:fill="E1E3F2"/>
          </w:tcPr>
          <w:p w14:paraId="16F00DD3" w14:textId="77777777" w:rsidR="004A0B3B" w:rsidRPr="00672BF8" w:rsidRDefault="004A0B3B" w:rsidP="00BD733E">
            <w:pPr>
              <w:pStyle w:val="DraftingNotesAgency"/>
              <w:spacing w:line="240" w:lineRule="auto"/>
              <w:rPr>
                <w:rFonts w:ascii="Verdana" w:hAnsi="Verdana"/>
                <w:i w:val="0"/>
                <w:color w:val="auto"/>
                <w:sz w:val="18"/>
              </w:rPr>
            </w:pPr>
            <w:r w:rsidRPr="00672BF8">
              <w:rPr>
                <w:rFonts w:ascii="Verdana" w:hAnsi="Verdana"/>
                <w:i w:val="0"/>
                <w:color w:val="auto"/>
                <w:sz w:val="18"/>
              </w:rPr>
              <w:t>32</w:t>
            </w:r>
          </w:p>
        </w:tc>
        <w:tc>
          <w:tcPr>
            <w:tcW w:w="822" w:type="pct"/>
            <w:shd w:val="clear" w:color="auto" w:fill="E1E3F2"/>
          </w:tcPr>
          <w:p w14:paraId="124F1D6A" w14:textId="2D5D244A" w:rsidR="004A0B3B" w:rsidRPr="00996A75" w:rsidRDefault="004A0B3B" w:rsidP="00BD733E">
            <w:pPr>
              <w:pStyle w:val="BodytextAgency"/>
              <w:spacing w:line="240" w:lineRule="auto"/>
              <w:rPr>
                <w:b/>
                <w:highlight w:val="lightGray"/>
              </w:rPr>
            </w:pPr>
          </w:p>
        </w:tc>
        <w:tc>
          <w:tcPr>
            <w:tcW w:w="2009" w:type="pct"/>
            <w:shd w:val="clear" w:color="auto" w:fill="E1E3F2"/>
          </w:tcPr>
          <w:p w14:paraId="0028231C" w14:textId="77777777" w:rsidR="004A0B3B" w:rsidRPr="00672BF8" w:rsidRDefault="004A0B3B" w:rsidP="00BD733E">
            <w:r w:rsidRPr="00672BF8">
              <w:t>There is in reference to “Pharmacodynamics” as section 7.1.2 in the Table of Contents but there is no text/information in the document regarding this topic in section 7, where 7.1.2 describes the topic “Interactions”</w:t>
            </w:r>
          </w:p>
        </w:tc>
        <w:tc>
          <w:tcPr>
            <w:tcW w:w="1524" w:type="pct"/>
            <w:shd w:val="clear" w:color="auto" w:fill="E1E3F2"/>
          </w:tcPr>
          <w:p w14:paraId="1ED7941C" w14:textId="77777777" w:rsidR="004A0B3B" w:rsidRPr="00672BF8" w:rsidRDefault="004A0B3B" w:rsidP="00BD733E"/>
        </w:tc>
      </w:tr>
      <w:tr w:rsidR="004A0B3B" w14:paraId="45B82187" w14:textId="77777777" w:rsidTr="004A0B3B">
        <w:tc>
          <w:tcPr>
            <w:tcW w:w="645" w:type="pct"/>
            <w:shd w:val="clear" w:color="auto" w:fill="E1E3F2"/>
          </w:tcPr>
          <w:p w14:paraId="3E440010" w14:textId="77777777" w:rsidR="004A0B3B" w:rsidRDefault="004A0B3B" w:rsidP="00E90EC6">
            <w:pPr>
              <w:pStyle w:val="TabletextrowsAgency"/>
              <w:spacing w:line="240" w:lineRule="auto"/>
            </w:pPr>
            <w:r>
              <w:t>107</w:t>
            </w:r>
          </w:p>
        </w:tc>
        <w:tc>
          <w:tcPr>
            <w:tcW w:w="822" w:type="pct"/>
            <w:shd w:val="clear" w:color="auto" w:fill="E1E3F2"/>
          </w:tcPr>
          <w:p w14:paraId="51C32AE5" w14:textId="3AD7656B" w:rsidR="004A0B3B" w:rsidRDefault="004A0B3B" w:rsidP="00E90EC6">
            <w:pPr>
              <w:pStyle w:val="TabletextrowsAgency"/>
              <w:spacing w:line="240" w:lineRule="auto"/>
            </w:pPr>
          </w:p>
        </w:tc>
        <w:tc>
          <w:tcPr>
            <w:tcW w:w="2009" w:type="pct"/>
            <w:shd w:val="clear" w:color="auto" w:fill="E1E3F2"/>
          </w:tcPr>
          <w:p w14:paraId="47517F2A" w14:textId="77777777" w:rsidR="004A0B3B" w:rsidRPr="00041251" w:rsidRDefault="004A0B3B" w:rsidP="00E90EC6">
            <w:pPr>
              <w:pStyle w:val="TabletextrowsAgency"/>
              <w:spacing w:line="240" w:lineRule="auto"/>
            </w:pPr>
            <w:r w:rsidRPr="00BF23BE">
              <w:rPr>
                <w:b/>
              </w:rPr>
              <w:t>Comment:</w:t>
            </w:r>
            <w:r>
              <w:t xml:space="preserve"> “includes </w:t>
            </w:r>
            <w:proofErr w:type="spellStart"/>
            <w:r>
              <w:t>pancolitis</w:t>
            </w:r>
            <w:proofErr w:type="spellEnd"/>
            <w:r>
              <w:t xml:space="preserve">”.  E3 distribution, involving the colon proximal to the splenic flexure </w:t>
            </w:r>
            <w:r>
              <w:rPr>
                <w:u w:val="single"/>
              </w:rPr>
              <w:t xml:space="preserve">is </w:t>
            </w:r>
            <w:proofErr w:type="spellStart"/>
            <w:r>
              <w:t>pancolitis</w:t>
            </w:r>
            <w:proofErr w:type="spellEnd"/>
            <w:r>
              <w:t xml:space="preserve">, by definition.  See </w:t>
            </w:r>
            <w:proofErr w:type="spellStart"/>
            <w:r>
              <w:t>Satsangi</w:t>
            </w:r>
            <w:proofErr w:type="spellEnd"/>
            <w:r>
              <w:t xml:space="preserve"> </w:t>
            </w:r>
            <w:r>
              <w:rPr>
                <w:i/>
              </w:rPr>
              <w:t xml:space="preserve">et al. Gut </w:t>
            </w:r>
            <w:r>
              <w:t>2006 55(6): 749-53.</w:t>
            </w:r>
          </w:p>
          <w:p w14:paraId="1C883E49" w14:textId="77777777" w:rsidR="004A0B3B" w:rsidRDefault="004A0B3B" w:rsidP="00E90EC6">
            <w:pPr>
              <w:pStyle w:val="TabletextrowsAgency"/>
              <w:spacing w:line="240" w:lineRule="auto"/>
            </w:pPr>
          </w:p>
          <w:p w14:paraId="31CA29B2" w14:textId="77777777" w:rsidR="004A0B3B" w:rsidRDefault="004A0B3B" w:rsidP="00E90EC6">
            <w:pPr>
              <w:pStyle w:val="TabletextrowsAgency"/>
              <w:spacing w:line="240" w:lineRule="auto"/>
            </w:pPr>
            <w:r w:rsidRPr="00BF23BE">
              <w:rPr>
                <w:b/>
              </w:rPr>
              <w:t>Proposed change (if any):</w:t>
            </w:r>
            <w:r>
              <w:t xml:space="preserve">  Delete “includes”</w:t>
            </w:r>
          </w:p>
        </w:tc>
        <w:tc>
          <w:tcPr>
            <w:tcW w:w="1524" w:type="pct"/>
            <w:shd w:val="clear" w:color="auto" w:fill="E1E3F2"/>
          </w:tcPr>
          <w:p w14:paraId="33AE6DD4" w14:textId="77777777" w:rsidR="004A0B3B" w:rsidRPr="00BF23BE" w:rsidRDefault="004A0B3B" w:rsidP="00E90EC6">
            <w:pPr>
              <w:pStyle w:val="TabletextrowsAgency"/>
              <w:spacing w:line="240" w:lineRule="auto"/>
              <w:rPr>
                <w:b/>
              </w:rPr>
            </w:pPr>
          </w:p>
        </w:tc>
      </w:tr>
      <w:tr w:rsidR="004A0B3B" w14:paraId="7CBC9CA1" w14:textId="77777777" w:rsidTr="004A0B3B">
        <w:tc>
          <w:tcPr>
            <w:tcW w:w="645" w:type="pct"/>
            <w:shd w:val="clear" w:color="auto" w:fill="E1E3F2"/>
          </w:tcPr>
          <w:p w14:paraId="43EB04C5" w14:textId="77777777" w:rsidR="004A0B3B" w:rsidRDefault="004A0B3B" w:rsidP="00E90EC6">
            <w:pPr>
              <w:pStyle w:val="TabletextrowsAgency"/>
              <w:spacing w:line="240" w:lineRule="auto"/>
            </w:pPr>
            <w:r>
              <w:t>182-183</w:t>
            </w:r>
          </w:p>
        </w:tc>
        <w:tc>
          <w:tcPr>
            <w:tcW w:w="822" w:type="pct"/>
            <w:shd w:val="clear" w:color="auto" w:fill="E1E3F2"/>
          </w:tcPr>
          <w:p w14:paraId="2A22D368" w14:textId="51E17ECA" w:rsidR="004A0B3B" w:rsidRDefault="004A0B3B" w:rsidP="00E90EC6">
            <w:pPr>
              <w:pStyle w:val="TabletextrowsAgency"/>
              <w:spacing w:line="240" w:lineRule="auto"/>
            </w:pPr>
          </w:p>
        </w:tc>
        <w:tc>
          <w:tcPr>
            <w:tcW w:w="2009" w:type="pct"/>
            <w:shd w:val="clear" w:color="auto" w:fill="E1E3F2"/>
          </w:tcPr>
          <w:p w14:paraId="15150E75" w14:textId="77777777" w:rsidR="004A0B3B" w:rsidRDefault="004A0B3B" w:rsidP="00E90EC6">
            <w:pPr>
              <w:pStyle w:val="TabletextrowsAgency"/>
              <w:spacing w:line="240" w:lineRule="auto"/>
            </w:pPr>
            <w:r>
              <w:t xml:space="preserve">Please describe how “standardization of reading should be convincingly demonstrated” can be demonstrated (what is expected?)  </w:t>
            </w:r>
          </w:p>
        </w:tc>
        <w:tc>
          <w:tcPr>
            <w:tcW w:w="1524" w:type="pct"/>
            <w:shd w:val="clear" w:color="auto" w:fill="E1E3F2"/>
          </w:tcPr>
          <w:p w14:paraId="63D85187" w14:textId="77777777" w:rsidR="004A0B3B" w:rsidRPr="00B02408" w:rsidRDefault="004A0B3B" w:rsidP="00E90EC6">
            <w:pPr>
              <w:pStyle w:val="TabletextrowsAgency"/>
              <w:rPr>
                <w:b/>
                <w:color w:val="0000FF"/>
              </w:rPr>
            </w:pPr>
          </w:p>
        </w:tc>
      </w:tr>
      <w:tr w:rsidR="009215B4" w14:paraId="590C32EC" w14:textId="77777777" w:rsidTr="004A0B3B">
        <w:tc>
          <w:tcPr>
            <w:tcW w:w="645" w:type="pct"/>
            <w:shd w:val="clear" w:color="auto" w:fill="E1E3F2"/>
          </w:tcPr>
          <w:p w14:paraId="6AD1BE9A" w14:textId="77777777" w:rsidR="009215B4" w:rsidRDefault="009215B4" w:rsidP="00E90EC6">
            <w:pPr>
              <w:pStyle w:val="TabletextrowsAgency"/>
              <w:spacing w:line="240" w:lineRule="auto"/>
            </w:pPr>
            <w:r>
              <w:t xml:space="preserve">201-202 </w:t>
            </w:r>
            <w:proofErr w:type="spellStart"/>
            <w:r>
              <w:t>vs</w:t>
            </w:r>
            <w:proofErr w:type="spellEnd"/>
            <w:r>
              <w:t xml:space="preserve"> 204</w:t>
            </w:r>
          </w:p>
        </w:tc>
        <w:tc>
          <w:tcPr>
            <w:tcW w:w="822" w:type="pct"/>
            <w:shd w:val="clear" w:color="auto" w:fill="E1E3F2"/>
          </w:tcPr>
          <w:p w14:paraId="0B8A0C5D" w14:textId="26600DE6" w:rsidR="009215B4" w:rsidRDefault="009215B4" w:rsidP="00E90EC6">
            <w:pPr>
              <w:pStyle w:val="TabletextrowsAgency"/>
              <w:spacing w:line="240" w:lineRule="auto"/>
            </w:pPr>
          </w:p>
        </w:tc>
        <w:tc>
          <w:tcPr>
            <w:tcW w:w="2009" w:type="pct"/>
            <w:shd w:val="clear" w:color="auto" w:fill="E1E3F2"/>
          </w:tcPr>
          <w:p w14:paraId="4A090D59" w14:textId="77777777" w:rsidR="009215B4" w:rsidRDefault="009215B4" w:rsidP="00E90EC6">
            <w:pPr>
              <w:pStyle w:val="TabletextrowsAgency"/>
              <w:spacing w:line="240" w:lineRule="auto"/>
            </w:pPr>
            <w:r w:rsidRPr="002A6DC3">
              <w:rPr>
                <w:b/>
              </w:rPr>
              <w:t>Comment:</w:t>
            </w:r>
            <w:r>
              <w:t xml:space="preserve"> Please define “histological normalisation”.</w:t>
            </w:r>
            <w:r>
              <w:br/>
              <w:t xml:space="preserve">What is the difference between “histological normalisation” and “histological remission”? </w:t>
            </w:r>
            <w:r>
              <w:br/>
              <w:t xml:space="preserve">We suggest </w:t>
            </w:r>
            <w:proofErr w:type="gramStart"/>
            <w:r>
              <w:t>to use</w:t>
            </w:r>
            <w:proofErr w:type="gramEnd"/>
            <w:r>
              <w:t xml:space="preserve"> the same terminology.</w:t>
            </w:r>
          </w:p>
        </w:tc>
        <w:tc>
          <w:tcPr>
            <w:tcW w:w="1524" w:type="pct"/>
            <w:shd w:val="clear" w:color="auto" w:fill="E1E3F2"/>
          </w:tcPr>
          <w:p w14:paraId="5851E6B2" w14:textId="77777777" w:rsidR="009215B4" w:rsidRPr="00B02408" w:rsidRDefault="009215B4" w:rsidP="00E90EC6">
            <w:pPr>
              <w:pStyle w:val="TabletextrowsAgency"/>
              <w:rPr>
                <w:b/>
                <w:color w:val="0000FF"/>
              </w:rPr>
            </w:pPr>
          </w:p>
        </w:tc>
      </w:tr>
      <w:tr w:rsidR="009215B4" w14:paraId="2F75C872" w14:textId="77777777" w:rsidTr="004A0B3B">
        <w:tc>
          <w:tcPr>
            <w:tcW w:w="645" w:type="pct"/>
            <w:shd w:val="clear" w:color="auto" w:fill="E1E3F2"/>
          </w:tcPr>
          <w:p w14:paraId="440A7607" w14:textId="77777777" w:rsidR="009215B4" w:rsidRDefault="009215B4" w:rsidP="00E90EC6">
            <w:pPr>
              <w:pStyle w:val="TabletextrowsAgency"/>
              <w:spacing w:line="240" w:lineRule="auto"/>
            </w:pPr>
            <w:r>
              <w:t>211</w:t>
            </w:r>
          </w:p>
        </w:tc>
        <w:tc>
          <w:tcPr>
            <w:tcW w:w="822" w:type="pct"/>
            <w:shd w:val="clear" w:color="auto" w:fill="E1E3F2"/>
          </w:tcPr>
          <w:p w14:paraId="605ED2C4" w14:textId="6212BA58" w:rsidR="009215B4" w:rsidRDefault="009215B4" w:rsidP="00E90EC6">
            <w:pPr>
              <w:pStyle w:val="TabletextrowsAgency"/>
              <w:spacing w:line="240" w:lineRule="auto"/>
            </w:pPr>
          </w:p>
        </w:tc>
        <w:tc>
          <w:tcPr>
            <w:tcW w:w="2009" w:type="pct"/>
            <w:shd w:val="clear" w:color="auto" w:fill="E1E3F2"/>
          </w:tcPr>
          <w:p w14:paraId="30C89C72" w14:textId="77777777" w:rsidR="009215B4" w:rsidRDefault="009215B4" w:rsidP="00E90EC6">
            <w:pPr>
              <w:pStyle w:val="TabletextrowsAgency"/>
              <w:spacing w:line="240" w:lineRule="auto"/>
            </w:pPr>
            <w:r w:rsidRPr="002A6DC3">
              <w:rPr>
                <w:b/>
              </w:rPr>
              <w:t>Comment:</w:t>
            </w:r>
            <w:r>
              <w:rPr>
                <w:rFonts w:eastAsia="Verdana"/>
                <w:spacing w:val="-1"/>
                <w:position w:val="-1"/>
              </w:rPr>
              <w:t xml:space="preserve"> Please clarify how </w:t>
            </w:r>
            <w:r>
              <w:t>steroid sparing effect</w:t>
            </w:r>
            <w:r>
              <w:rPr>
                <w:rFonts w:eastAsia="Verdana"/>
                <w:spacing w:val="-1"/>
                <w:position w:val="-1"/>
              </w:rPr>
              <w:t xml:space="preserve"> is different from the primary endpoint.</w:t>
            </w:r>
          </w:p>
        </w:tc>
        <w:tc>
          <w:tcPr>
            <w:tcW w:w="1524" w:type="pct"/>
            <w:shd w:val="clear" w:color="auto" w:fill="E1E3F2"/>
          </w:tcPr>
          <w:p w14:paraId="1B2682D4" w14:textId="77777777" w:rsidR="009215B4" w:rsidRPr="00B02408" w:rsidRDefault="009215B4" w:rsidP="00E90EC6">
            <w:pPr>
              <w:pStyle w:val="TabletextrowsAgency"/>
              <w:rPr>
                <w:b/>
                <w:color w:val="0000FF"/>
              </w:rPr>
            </w:pPr>
          </w:p>
        </w:tc>
      </w:tr>
      <w:tr w:rsidR="009215B4" w14:paraId="69154F3E" w14:textId="77777777" w:rsidTr="004A0B3B">
        <w:tc>
          <w:tcPr>
            <w:tcW w:w="645" w:type="pct"/>
            <w:shd w:val="clear" w:color="auto" w:fill="E1E3F2"/>
          </w:tcPr>
          <w:p w14:paraId="5497978D" w14:textId="77777777" w:rsidR="009215B4" w:rsidRDefault="009215B4" w:rsidP="00E90EC6">
            <w:pPr>
              <w:pStyle w:val="TabletextrowsAgency"/>
              <w:spacing w:line="240" w:lineRule="auto"/>
            </w:pPr>
            <w:r>
              <w:t>260-262</w:t>
            </w:r>
          </w:p>
        </w:tc>
        <w:tc>
          <w:tcPr>
            <w:tcW w:w="822" w:type="pct"/>
            <w:shd w:val="clear" w:color="auto" w:fill="E1E3F2"/>
          </w:tcPr>
          <w:p w14:paraId="569DE9C4" w14:textId="6B5641DC" w:rsidR="009215B4" w:rsidRPr="00D52DCD" w:rsidRDefault="009215B4" w:rsidP="00E90EC6">
            <w:pPr>
              <w:pStyle w:val="TabletextrowsAgency"/>
              <w:spacing w:line="240" w:lineRule="auto"/>
              <w:rPr>
                <w:b/>
              </w:rPr>
            </w:pPr>
          </w:p>
        </w:tc>
        <w:tc>
          <w:tcPr>
            <w:tcW w:w="2009" w:type="pct"/>
            <w:shd w:val="clear" w:color="auto" w:fill="E1E3F2"/>
          </w:tcPr>
          <w:p w14:paraId="031DF37A" w14:textId="77777777" w:rsidR="009215B4" w:rsidRDefault="009215B4" w:rsidP="00E90EC6">
            <w:pPr>
              <w:pStyle w:val="TabletextrowsAgency"/>
              <w:spacing w:line="240" w:lineRule="auto"/>
            </w:pPr>
            <w:r w:rsidRPr="4234C1CA">
              <w:rPr>
                <w:b/>
                <w:bCs/>
              </w:rPr>
              <w:t>Comment:</w:t>
            </w:r>
            <w:r>
              <w:t xml:space="preserve"> Appropriate follow-up period off therapy is recommended to see if patients who are in remission at the end of treatment remain in remission at the end of follow-up. However, with the exception of corticosteroids, there is no medication for UC that is withdrawn (unless there is an adverse event) even when the patient is in remission. This is a chronic waxing and waning disease, and there is ample evidence that withdrawal of maintenance medication results in an increased risk of relapse and greater difficulty in re-inducing remission.  In addition, with certain biologics, withdrawal of therapy and restarting may increase the risk of developing antibodies to the drug and reduce its effectiveness.</w:t>
            </w:r>
          </w:p>
        </w:tc>
        <w:tc>
          <w:tcPr>
            <w:tcW w:w="1524" w:type="pct"/>
            <w:shd w:val="clear" w:color="auto" w:fill="E1E3F2"/>
          </w:tcPr>
          <w:p w14:paraId="2F1238AF" w14:textId="77777777" w:rsidR="009215B4" w:rsidRPr="0076509A" w:rsidRDefault="009215B4" w:rsidP="00E90EC6">
            <w:pPr>
              <w:pStyle w:val="TabletextrowsAgency"/>
              <w:rPr>
                <w:b/>
                <w:color w:val="0000FF"/>
              </w:rPr>
            </w:pPr>
          </w:p>
        </w:tc>
      </w:tr>
      <w:tr w:rsidR="009215B4" w14:paraId="1EB4276F" w14:textId="77777777" w:rsidTr="004A0B3B">
        <w:tc>
          <w:tcPr>
            <w:tcW w:w="645" w:type="pct"/>
            <w:shd w:val="clear" w:color="auto" w:fill="E1E3F2"/>
          </w:tcPr>
          <w:p w14:paraId="718DDACE" w14:textId="77777777" w:rsidR="009215B4" w:rsidRDefault="009215B4" w:rsidP="00E90EC6">
            <w:pPr>
              <w:pStyle w:val="TabletextrowsAgency"/>
              <w:spacing w:line="240" w:lineRule="auto"/>
            </w:pPr>
            <w:r>
              <w:t>262-264</w:t>
            </w:r>
          </w:p>
        </w:tc>
        <w:tc>
          <w:tcPr>
            <w:tcW w:w="822" w:type="pct"/>
            <w:shd w:val="clear" w:color="auto" w:fill="E1E3F2"/>
          </w:tcPr>
          <w:p w14:paraId="6A101681" w14:textId="6636C700" w:rsidR="009215B4" w:rsidRPr="00420408" w:rsidRDefault="009215B4" w:rsidP="00E90EC6">
            <w:pPr>
              <w:pStyle w:val="TabletextrowsAgency"/>
              <w:spacing w:line="240" w:lineRule="auto"/>
              <w:rPr>
                <w:b/>
              </w:rPr>
            </w:pPr>
          </w:p>
        </w:tc>
        <w:tc>
          <w:tcPr>
            <w:tcW w:w="2009" w:type="pct"/>
            <w:shd w:val="clear" w:color="auto" w:fill="E1E3F2"/>
          </w:tcPr>
          <w:p w14:paraId="063C54DE" w14:textId="77777777" w:rsidR="009215B4" w:rsidRDefault="009215B4" w:rsidP="00E90EC6">
            <w:pPr>
              <w:pStyle w:val="TabletextrowsAgency"/>
              <w:spacing w:line="240" w:lineRule="auto"/>
            </w:pPr>
            <w:r w:rsidRPr="00BF23BE">
              <w:rPr>
                <w:b/>
              </w:rPr>
              <w:t>Comment:</w:t>
            </w:r>
            <w:r>
              <w:t xml:space="preserve"> “Patients on steroids at entry should have their dose tapered according to predefined tapering schedules. Obtaining steroid-free remission should be the goal of therapy.”</w:t>
            </w:r>
          </w:p>
          <w:p w14:paraId="539081BE" w14:textId="77777777" w:rsidR="009215B4" w:rsidRDefault="009215B4" w:rsidP="00E90EC6">
            <w:pPr>
              <w:pStyle w:val="TabletextrowsAgency"/>
              <w:spacing w:line="240" w:lineRule="auto"/>
            </w:pPr>
          </w:p>
          <w:p w14:paraId="69CE3F98" w14:textId="77777777" w:rsidR="009215B4" w:rsidRDefault="009215B4" w:rsidP="00E90EC6">
            <w:pPr>
              <w:pStyle w:val="TabletextrowsAgency"/>
              <w:spacing w:line="240" w:lineRule="auto"/>
            </w:pPr>
            <w:r w:rsidRPr="00BF23BE">
              <w:rPr>
                <w:b/>
              </w:rPr>
              <w:t>Proposed change (if any):</w:t>
            </w:r>
            <w:r>
              <w:t xml:space="preserve"> Consider carefully distinguishing between corticosteroid-free remission as a well-established goal of therapy in clinical practice and corticosteroid-free remission as an endpoint in clinical trials.  The above sentences may lead to confusion in this regard.</w:t>
            </w:r>
          </w:p>
        </w:tc>
        <w:tc>
          <w:tcPr>
            <w:tcW w:w="1524" w:type="pct"/>
            <w:shd w:val="clear" w:color="auto" w:fill="E1E3F2"/>
          </w:tcPr>
          <w:p w14:paraId="286AA7CD" w14:textId="77777777" w:rsidR="009215B4" w:rsidRPr="0076509A" w:rsidRDefault="009215B4" w:rsidP="00E90EC6">
            <w:pPr>
              <w:pStyle w:val="TabletextrowsAgency"/>
              <w:rPr>
                <w:b/>
                <w:color w:val="0000FF"/>
              </w:rPr>
            </w:pPr>
          </w:p>
        </w:tc>
      </w:tr>
      <w:tr w:rsidR="009215B4" w14:paraId="1122B28C" w14:textId="77777777" w:rsidTr="004A0B3B">
        <w:tc>
          <w:tcPr>
            <w:tcW w:w="645" w:type="pct"/>
            <w:shd w:val="clear" w:color="auto" w:fill="E1E3F2"/>
          </w:tcPr>
          <w:p w14:paraId="00599D80" w14:textId="77777777" w:rsidR="009215B4" w:rsidRDefault="009215B4" w:rsidP="00E90EC6">
            <w:pPr>
              <w:pStyle w:val="TabletextrowsAgency"/>
              <w:spacing w:line="240" w:lineRule="auto"/>
            </w:pPr>
            <w:r>
              <w:t>280-281</w:t>
            </w:r>
          </w:p>
        </w:tc>
        <w:tc>
          <w:tcPr>
            <w:tcW w:w="822" w:type="pct"/>
            <w:shd w:val="clear" w:color="auto" w:fill="E1E3F2"/>
          </w:tcPr>
          <w:p w14:paraId="08FBF89E" w14:textId="05A7137E" w:rsidR="009215B4" w:rsidRPr="00BB356B" w:rsidRDefault="009215B4" w:rsidP="00E90EC6">
            <w:pPr>
              <w:pStyle w:val="TabletextrowsAgency"/>
              <w:spacing w:line="240" w:lineRule="auto"/>
              <w:rPr>
                <w:b/>
                <w:highlight w:val="cyan"/>
              </w:rPr>
            </w:pPr>
          </w:p>
        </w:tc>
        <w:tc>
          <w:tcPr>
            <w:tcW w:w="2009" w:type="pct"/>
            <w:shd w:val="clear" w:color="auto" w:fill="E1E3F2"/>
          </w:tcPr>
          <w:p w14:paraId="457D72F5" w14:textId="77777777" w:rsidR="009215B4" w:rsidRPr="006F1705" w:rsidRDefault="009215B4" w:rsidP="00E90EC6">
            <w:pPr>
              <w:pStyle w:val="TabletextrowsAgency"/>
              <w:spacing w:line="240" w:lineRule="auto"/>
              <w:rPr>
                <w:bCs/>
              </w:rPr>
            </w:pPr>
            <w:r>
              <w:rPr>
                <w:bCs/>
              </w:rPr>
              <w:t xml:space="preserve">As patients who are newly diagnosed may be appropriate for inclusion in studies (i.e. </w:t>
            </w:r>
            <w:proofErr w:type="spellStart"/>
            <w:r>
              <w:rPr>
                <w:bCs/>
              </w:rPr>
              <w:t>Bionaive</w:t>
            </w:r>
            <w:proofErr w:type="spellEnd"/>
            <w:r>
              <w:rPr>
                <w:bCs/>
              </w:rPr>
              <w:t xml:space="preserve"> patients), we do not believe a </w:t>
            </w:r>
            <w:proofErr w:type="gramStart"/>
            <w:r>
              <w:rPr>
                <w:bCs/>
              </w:rPr>
              <w:t>3 month</w:t>
            </w:r>
            <w:proofErr w:type="gramEnd"/>
            <w:r>
              <w:rPr>
                <w:bCs/>
              </w:rPr>
              <w:t xml:space="preserve"> period from diagnosis is appropriate.  We suggest considering a provision of 3 months of symptoms prior to diagnosis in newly identified patients. </w:t>
            </w:r>
          </w:p>
        </w:tc>
        <w:tc>
          <w:tcPr>
            <w:tcW w:w="1524" w:type="pct"/>
            <w:shd w:val="clear" w:color="auto" w:fill="E1E3F2"/>
          </w:tcPr>
          <w:p w14:paraId="78AFF3A3" w14:textId="77777777" w:rsidR="009215B4" w:rsidRPr="00B02408" w:rsidRDefault="009215B4" w:rsidP="00E90EC6">
            <w:pPr>
              <w:pStyle w:val="TabletextrowsAgency"/>
              <w:rPr>
                <w:b/>
                <w:color w:val="0000FF"/>
              </w:rPr>
            </w:pPr>
          </w:p>
        </w:tc>
      </w:tr>
      <w:tr w:rsidR="002E0488" w14:paraId="7124F26E" w14:textId="77777777" w:rsidTr="004A0B3B">
        <w:tc>
          <w:tcPr>
            <w:tcW w:w="645" w:type="pct"/>
            <w:shd w:val="clear" w:color="auto" w:fill="E1E3F2"/>
          </w:tcPr>
          <w:p w14:paraId="7B2861EC" w14:textId="77777777" w:rsidR="002E0488" w:rsidRPr="00561BA0" w:rsidRDefault="002E0488" w:rsidP="00E90EC6">
            <w:pPr>
              <w:pStyle w:val="TabletextrowsAgency"/>
              <w:spacing w:line="240" w:lineRule="auto"/>
            </w:pPr>
            <w:r>
              <w:t>325</w:t>
            </w:r>
          </w:p>
        </w:tc>
        <w:tc>
          <w:tcPr>
            <w:tcW w:w="822" w:type="pct"/>
            <w:shd w:val="clear" w:color="auto" w:fill="E1E3F2"/>
          </w:tcPr>
          <w:p w14:paraId="57419C5C" w14:textId="7764BE19" w:rsidR="002E0488" w:rsidRPr="00867830" w:rsidRDefault="002E0488" w:rsidP="00E90EC6">
            <w:pPr>
              <w:pStyle w:val="TabletextrowsAgency"/>
              <w:spacing w:line="240" w:lineRule="auto"/>
              <w:rPr>
                <w:b/>
              </w:rPr>
            </w:pPr>
          </w:p>
        </w:tc>
        <w:tc>
          <w:tcPr>
            <w:tcW w:w="2009" w:type="pct"/>
            <w:shd w:val="clear" w:color="auto" w:fill="E1E3F2"/>
          </w:tcPr>
          <w:p w14:paraId="0B18588E" w14:textId="77777777" w:rsidR="002E0488" w:rsidRPr="00616868" w:rsidRDefault="002E0488" w:rsidP="00E90EC6">
            <w:pPr>
              <w:pStyle w:val="TabletextrowsAgency"/>
              <w:spacing w:line="240" w:lineRule="auto"/>
            </w:pPr>
            <w:r w:rsidRPr="00616868">
              <w:rPr>
                <w:b/>
              </w:rPr>
              <w:t>Comment:</w:t>
            </w:r>
            <w:r w:rsidRPr="00616868">
              <w:t xml:space="preserve"> “Patients who are presently on the test drug should be randomised to continuing the test drug or switching to …”</w:t>
            </w:r>
          </w:p>
          <w:p w14:paraId="4009FEFA" w14:textId="77777777" w:rsidR="002E0488" w:rsidRPr="00616868" w:rsidRDefault="002E0488" w:rsidP="00E90EC6">
            <w:pPr>
              <w:pStyle w:val="TabletextrowsAgency"/>
              <w:spacing w:line="240" w:lineRule="auto"/>
            </w:pPr>
            <w:r w:rsidRPr="00616868">
              <w:t>It seems clear from the chapter 7.2.2.2.2 below that re-randomisation is what is meant in this sentence</w:t>
            </w:r>
          </w:p>
          <w:p w14:paraId="5A8789EC" w14:textId="77777777" w:rsidR="002E0488" w:rsidRPr="00616868" w:rsidRDefault="002E0488" w:rsidP="00E90EC6">
            <w:pPr>
              <w:pStyle w:val="TabletextrowsAgency"/>
              <w:spacing w:line="240" w:lineRule="auto"/>
            </w:pPr>
          </w:p>
          <w:p w14:paraId="1CC2F90E" w14:textId="77777777" w:rsidR="002E0488" w:rsidRPr="00FC35BF" w:rsidRDefault="002E0488" w:rsidP="00E90EC6">
            <w:pPr>
              <w:pStyle w:val="TabletextrowsAgency"/>
              <w:spacing w:line="240" w:lineRule="auto"/>
              <w:rPr>
                <w:sz w:val="20"/>
              </w:rPr>
            </w:pPr>
            <w:r w:rsidRPr="00616868">
              <w:rPr>
                <w:b/>
              </w:rPr>
              <w:t>Proposed change (if any):</w:t>
            </w:r>
            <w:r w:rsidRPr="00616868">
              <w:t xml:space="preserve"> Patients who are presently on the test drug should be re-randomised to continuing the test drug or switching to …</w:t>
            </w:r>
          </w:p>
        </w:tc>
        <w:tc>
          <w:tcPr>
            <w:tcW w:w="1524" w:type="pct"/>
            <w:shd w:val="clear" w:color="auto" w:fill="E1E3F2"/>
          </w:tcPr>
          <w:p w14:paraId="7ED94B26" w14:textId="77777777" w:rsidR="002E0488" w:rsidRPr="00B02408" w:rsidRDefault="002E0488" w:rsidP="00E90EC6">
            <w:pPr>
              <w:pStyle w:val="TabletextrowsAgency"/>
              <w:rPr>
                <w:b/>
                <w:color w:val="0000FF"/>
              </w:rPr>
            </w:pPr>
          </w:p>
        </w:tc>
      </w:tr>
      <w:tr w:rsidR="002E0488" w14:paraId="0F03C7E9" w14:textId="77777777" w:rsidTr="004A0B3B">
        <w:tc>
          <w:tcPr>
            <w:tcW w:w="645" w:type="pct"/>
            <w:shd w:val="clear" w:color="auto" w:fill="E1E3F2"/>
          </w:tcPr>
          <w:p w14:paraId="31754918" w14:textId="77777777" w:rsidR="002E0488" w:rsidRDefault="002E0488" w:rsidP="00E90EC6">
            <w:pPr>
              <w:pStyle w:val="TabletextrowsAgency"/>
              <w:spacing w:line="240" w:lineRule="auto"/>
            </w:pPr>
            <w:r>
              <w:t>340-346</w:t>
            </w:r>
          </w:p>
        </w:tc>
        <w:tc>
          <w:tcPr>
            <w:tcW w:w="822" w:type="pct"/>
            <w:shd w:val="clear" w:color="auto" w:fill="E1E3F2"/>
          </w:tcPr>
          <w:p w14:paraId="7B81DD2E" w14:textId="0645CD22" w:rsidR="002E0488" w:rsidRPr="00611716" w:rsidRDefault="002E0488" w:rsidP="00E90EC6">
            <w:pPr>
              <w:pStyle w:val="TabletextrowsAgency"/>
              <w:spacing w:line="240" w:lineRule="auto"/>
              <w:rPr>
                <w:b/>
              </w:rPr>
            </w:pPr>
          </w:p>
        </w:tc>
        <w:tc>
          <w:tcPr>
            <w:tcW w:w="2009" w:type="pct"/>
            <w:shd w:val="clear" w:color="auto" w:fill="E1E3F2"/>
          </w:tcPr>
          <w:p w14:paraId="400F2825" w14:textId="77777777" w:rsidR="002E0488" w:rsidRDefault="002E0488" w:rsidP="00E90EC6">
            <w:pPr>
              <w:pStyle w:val="TabletextrowsAgency"/>
              <w:spacing w:line="240" w:lineRule="auto"/>
            </w:pPr>
            <w:r w:rsidRPr="00BF23BE">
              <w:rPr>
                <w:b/>
              </w:rPr>
              <w:t>Comment:</w:t>
            </w:r>
            <w:r>
              <w:t xml:space="preserve"> text on lines 340 -346</w:t>
            </w:r>
          </w:p>
          <w:p w14:paraId="2083E5CA" w14:textId="77777777" w:rsidR="002E0488" w:rsidRDefault="002E0488" w:rsidP="00E90EC6">
            <w:pPr>
              <w:pStyle w:val="TabletextrowsAgency"/>
              <w:spacing w:line="240" w:lineRule="auto"/>
            </w:pPr>
            <w:r>
              <w:t>Trials combining induction treatment and maintenance treatment should preferably only enter patients that have achieved remission (in either the trial drug or comparator group), into the maintenance phase. Responders may be included in the maintenance phase as it is considered relevant to study if continued treatment in responders may eventually lead to remission. However, if the intended claim is “maintenance of remission”, the primary analysis should be based on the remitters only.</w:t>
            </w:r>
          </w:p>
          <w:p w14:paraId="7F1341C2" w14:textId="77777777" w:rsidR="002E0488" w:rsidRDefault="002E0488" w:rsidP="00E90EC6">
            <w:pPr>
              <w:pStyle w:val="TabletextrowsAgency"/>
              <w:spacing w:line="240" w:lineRule="auto"/>
            </w:pPr>
          </w:p>
          <w:p w14:paraId="20CEA557" w14:textId="77777777" w:rsidR="002E0488" w:rsidRPr="00BF23BE" w:rsidRDefault="002E0488" w:rsidP="00E90EC6">
            <w:pPr>
              <w:pStyle w:val="TabletextrowsAgency"/>
              <w:spacing w:line="240" w:lineRule="auto"/>
              <w:rPr>
                <w:b/>
              </w:rPr>
            </w:pPr>
            <w:r w:rsidRPr="00BF23BE">
              <w:rPr>
                <w:b/>
              </w:rPr>
              <w:t>Proposed change (if any):</w:t>
            </w:r>
          </w:p>
          <w:p w14:paraId="32A9C9CE" w14:textId="77777777" w:rsidR="002E0488" w:rsidRDefault="002E0488" w:rsidP="00E90EC6">
            <w:pPr>
              <w:pStyle w:val="TabletextrowsAgency"/>
              <w:spacing w:line="240" w:lineRule="auto"/>
            </w:pPr>
            <w:r>
              <w:t xml:space="preserve">Trials combining induction treatment and maintenance treatment should preferably only enter patients that have achieved remission (in either the trial drug or comparator group), into the maintenance phase. Responders may be included in the maintenance phase as it is considered relevant to study if continued treatment in responders may eventually lead to remission </w:t>
            </w:r>
            <w:r w:rsidRPr="007E22AE">
              <w:rPr>
                <w:i/>
              </w:rPr>
              <w:t>or if maintenance of response is an intended claim</w:t>
            </w:r>
            <w:r w:rsidRPr="007E22AE">
              <w:t>.</w:t>
            </w:r>
            <w:r>
              <w:t xml:space="preserve"> However, if the intended claim is “maintenance of remission”, the primary analysis should be based on the remitters only.</w:t>
            </w:r>
          </w:p>
        </w:tc>
        <w:tc>
          <w:tcPr>
            <w:tcW w:w="1524" w:type="pct"/>
            <w:shd w:val="clear" w:color="auto" w:fill="E1E3F2"/>
          </w:tcPr>
          <w:p w14:paraId="36AFBD73" w14:textId="77777777" w:rsidR="002E0488" w:rsidRPr="00B02408" w:rsidRDefault="002E0488" w:rsidP="00E90EC6">
            <w:pPr>
              <w:pStyle w:val="TabletextrowsAgency"/>
              <w:rPr>
                <w:b/>
                <w:color w:val="0000FF"/>
              </w:rPr>
            </w:pPr>
          </w:p>
        </w:tc>
      </w:tr>
      <w:tr w:rsidR="00D90E36" w14:paraId="42BBDDAD" w14:textId="77777777" w:rsidTr="004A0B3B">
        <w:tc>
          <w:tcPr>
            <w:tcW w:w="645" w:type="pct"/>
            <w:shd w:val="clear" w:color="auto" w:fill="E1E3F2"/>
          </w:tcPr>
          <w:p w14:paraId="1F18F509" w14:textId="77777777" w:rsidR="00D90E36" w:rsidRDefault="00D90E36" w:rsidP="00E90EC6">
            <w:pPr>
              <w:pStyle w:val="TabletextrowsAgency"/>
              <w:spacing w:line="240" w:lineRule="auto"/>
            </w:pPr>
            <w:r>
              <w:t>393-394</w:t>
            </w:r>
          </w:p>
        </w:tc>
        <w:tc>
          <w:tcPr>
            <w:tcW w:w="822" w:type="pct"/>
            <w:shd w:val="clear" w:color="auto" w:fill="E1E3F2"/>
          </w:tcPr>
          <w:p w14:paraId="1B7D2760" w14:textId="7C53F18A" w:rsidR="00D90E36" w:rsidRDefault="00D90E36" w:rsidP="00E90EC6">
            <w:pPr>
              <w:pStyle w:val="TabletextrowsAgency"/>
              <w:spacing w:line="240" w:lineRule="auto"/>
            </w:pPr>
          </w:p>
        </w:tc>
        <w:tc>
          <w:tcPr>
            <w:tcW w:w="2009" w:type="pct"/>
            <w:shd w:val="clear" w:color="auto" w:fill="E1E3F2"/>
          </w:tcPr>
          <w:p w14:paraId="2B5C3DD5" w14:textId="77777777" w:rsidR="00D90E36" w:rsidRDefault="00D90E36" w:rsidP="00E90EC6">
            <w:pPr>
              <w:pStyle w:val="TabletextrowsAgency"/>
              <w:spacing w:line="240" w:lineRule="auto"/>
            </w:pPr>
            <w:r>
              <w:t>The tapering schedule given should specify the pertinent group of steroids. As commented earlier, there are different groups/compounds which may require different schedules.</w:t>
            </w:r>
          </w:p>
        </w:tc>
        <w:tc>
          <w:tcPr>
            <w:tcW w:w="1524" w:type="pct"/>
            <w:shd w:val="clear" w:color="auto" w:fill="E1E3F2"/>
          </w:tcPr>
          <w:p w14:paraId="0CBCD173" w14:textId="77777777" w:rsidR="00D90E36" w:rsidRPr="00927CD3" w:rsidRDefault="00D90E36" w:rsidP="00E90EC6">
            <w:pPr>
              <w:pStyle w:val="TabletextrowsAgency"/>
              <w:rPr>
                <w:b/>
                <w:color w:val="0000FF"/>
              </w:rPr>
            </w:pPr>
          </w:p>
        </w:tc>
      </w:tr>
      <w:tr w:rsidR="00D90E36" w14:paraId="67FE0325" w14:textId="77777777" w:rsidTr="004A0B3B">
        <w:tc>
          <w:tcPr>
            <w:tcW w:w="645" w:type="pct"/>
            <w:shd w:val="clear" w:color="auto" w:fill="E1E3F2"/>
          </w:tcPr>
          <w:p w14:paraId="3C3418D4" w14:textId="77777777" w:rsidR="00D90E36" w:rsidRDefault="00D90E36" w:rsidP="00E90EC6">
            <w:pPr>
              <w:pStyle w:val="TabletextrowsAgency"/>
              <w:spacing w:line="240" w:lineRule="auto"/>
            </w:pPr>
            <w:r>
              <w:t>400-401</w:t>
            </w:r>
          </w:p>
        </w:tc>
        <w:tc>
          <w:tcPr>
            <w:tcW w:w="822" w:type="pct"/>
            <w:shd w:val="clear" w:color="auto" w:fill="E1E3F2"/>
          </w:tcPr>
          <w:p w14:paraId="35A954D5" w14:textId="5A2A98FE" w:rsidR="00D90E36" w:rsidRPr="00893081" w:rsidRDefault="00D90E36" w:rsidP="00E90EC6">
            <w:pPr>
              <w:pStyle w:val="TabletextrowsAgency"/>
              <w:spacing w:line="240" w:lineRule="auto"/>
              <w:rPr>
                <w:b/>
              </w:rPr>
            </w:pPr>
          </w:p>
        </w:tc>
        <w:tc>
          <w:tcPr>
            <w:tcW w:w="2009" w:type="pct"/>
            <w:shd w:val="clear" w:color="auto" w:fill="E1E3F2"/>
          </w:tcPr>
          <w:p w14:paraId="3C2844B9" w14:textId="77777777" w:rsidR="00D90E36" w:rsidRDefault="00D90E36" w:rsidP="00E90EC6">
            <w:pPr>
              <w:pStyle w:val="TabletextrowsAgency"/>
              <w:spacing w:line="240" w:lineRule="auto"/>
            </w:pPr>
            <w:r w:rsidRPr="00BF23BE">
              <w:rPr>
                <w:b/>
              </w:rPr>
              <w:t>Comment:</w:t>
            </w:r>
            <w:r>
              <w:t xml:space="preserve"> For the reasons that the author alludes to on lines 398-400, topical rectally administered therapies are usually excluded from industry-sponsored clinical trials in UC.  Given this fact, the statement on lines 400-401 is confusing.</w:t>
            </w:r>
          </w:p>
          <w:p w14:paraId="6FE142C6" w14:textId="77777777" w:rsidR="00D90E36" w:rsidRDefault="00D90E36" w:rsidP="00E90EC6">
            <w:pPr>
              <w:pStyle w:val="TabletextrowsAgency"/>
              <w:spacing w:line="240" w:lineRule="auto"/>
            </w:pPr>
          </w:p>
          <w:p w14:paraId="2FCB9067" w14:textId="77777777" w:rsidR="00D90E36" w:rsidRDefault="00D90E36" w:rsidP="00E90EC6">
            <w:pPr>
              <w:pStyle w:val="TabletextrowsAgency"/>
              <w:spacing w:line="240" w:lineRule="auto"/>
            </w:pPr>
            <w:r w:rsidRPr="00BF23BE">
              <w:rPr>
                <w:b/>
              </w:rPr>
              <w:t>Proposed change (if any):</w:t>
            </w:r>
            <w:r>
              <w:t xml:space="preserve"> The sentence on lines 400-401 should be amended or removed.  Clarification is required. </w:t>
            </w:r>
          </w:p>
        </w:tc>
        <w:tc>
          <w:tcPr>
            <w:tcW w:w="1524" w:type="pct"/>
            <w:shd w:val="clear" w:color="auto" w:fill="E1E3F2"/>
          </w:tcPr>
          <w:p w14:paraId="2F6F9D9B" w14:textId="77777777" w:rsidR="00D90E36" w:rsidRPr="00927CD3" w:rsidRDefault="00D90E36" w:rsidP="00E90EC6">
            <w:pPr>
              <w:pStyle w:val="TabletextrowsAgency"/>
              <w:rPr>
                <w:b/>
                <w:color w:val="0000FF"/>
              </w:rPr>
            </w:pPr>
          </w:p>
        </w:tc>
      </w:tr>
      <w:tr w:rsidR="00D90E36" w14:paraId="73BDAD79" w14:textId="77777777" w:rsidTr="004A0B3B">
        <w:tc>
          <w:tcPr>
            <w:tcW w:w="645" w:type="pct"/>
            <w:shd w:val="clear" w:color="auto" w:fill="E1E3F2"/>
          </w:tcPr>
          <w:p w14:paraId="16CB995B" w14:textId="77777777" w:rsidR="00D90E36" w:rsidRDefault="00D90E36" w:rsidP="00E90EC6">
            <w:pPr>
              <w:pStyle w:val="TabletextrowsAgency"/>
              <w:spacing w:line="240" w:lineRule="auto"/>
            </w:pPr>
            <w:r>
              <w:t>402</w:t>
            </w:r>
          </w:p>
        </w:tc>
        <w:tc>
          <w:tcPr>
            <w:tcW w:w="822" w:type="pct"/>
            <w:shd w:val="clear" w:color="auto" w:fill="E1E3F2"/>
          </w:tcPr>
          <w:p w14:paraId="1BC6F5A7" w14:textId="33D2833B" w:rsidR="00D90E36" w:rsidRDefault="00D90E36" w:rsidP="00E90EC6">
            <w:pPr>
              <w:pStyle w:val="TabletextrowsAgency"/>
              <w:spacing w:line="240" w:lineRule="auto"/>
            </w:pPr>
          </w:p>
        </w:tc>
        <w:tc>
          <w:tcPr>
            <w:tcW w:w="2009" w:type="pct"/>
            <w:shd w:val="clear" w:color="auto" w:fill="E1E3F2"/>
          </w:tcPr>
          <w:p w14:paraId="3ACAC6FC" w14:textId="77777777" w:rsidR="00D90E36" w:rsidRDefault="00D90E36" w:rsidP="00E90EC6">
            <w:pPr>
              <w:ind w:right="84"/>
              <w:rPr>
                <w:rFonts w:eastAsia="Verdana"/>
                <w:spacing w:val="1"/>
              </w:rPr>
            </w:pPr>
            <w:r>
              <w:rPr>
                <w:rFonts w:eastAsia="Verdana"/>
                <w:spacing w:val="-1"/>
              </w:rPr>
              <w:t>Comment</w:t>
            </w:r>
            <w:r w:rsidRPr="002A6DC3">
              <w:rPr>
                <w:rFonts w:eastAsia="Verdana"/>
                <w:b/>
                <w:spacing w:val="-1"/>
              </w:rPr>
              <w:t>: Treatment with an</w:t>
            </w:r>
            <w:r w:rsidRPr="002A6DC3">
              <w:rPr>
                <w:rFonts w:eastAsia="Verdana"/>
                <w:b/>
                <w:spacing w:val="1"/>
              </w:rPr>
              <w:t>tib</w:t>
            </w:r>
            <w:r w:rsidRPr="002A6DC3">
              <w:rPr>
                <w:rFonts w:eastAsia="Verdana"/>
                <w:b/>
                <w:spacing w:val="-1"/>
              </w:rPr>
              <w:t>i</w:t>
            </w:r>
            <w:r w:rsidRPr="002A6DC3">
              <w:rPr>
                <w:rFonts w:eastAsia="Verdana"/>
                <w:b/>
                <w:spacing w:val="1"/>
              </w:rPr>
              <w:t>o</w:t>
            </w:r>
            <w:r w:rsidRPr="002A6DC3">
              <w:rPr>
                <w:rFonts w:eastAsia="Verdana"/>
                <w:b/>
                <w:spacing w:val="-1"/>
              </w:rPr>
              <w:t>t</w:t>
            </w:r>
            <w:r w:rsidRPr="002A6DC3">
              <w:rPr>
                <w:rFonts w:eastAsia="Verdana"/>
                <w:b/>
                <w:spacing w:val="1"/>
              </w:rPr>
              <w:t>i</w:t>
            </w:r>
            <w:r w:rsidRPr="002A6DC3">
              <w:rPr>
                <w:rFonts w:eastAsia="Verdana"/>
                <w:b/>
              </w:rPr>
              <w:t>cs</w:t>
            </w:r>
            <w:r w:rsidRPr="002A6DC3">
              <w:rPr>
                <w:rFonts w:eastAsia="Verdana"/>
                <w:b/>
                <w:spacing w:val="-1"/>
              </w:rPr>
              <w:t xml:space="preserve"> </w:t>
            </w:r>
            <w:r w:rsidRPr="002A6DC3">
              <w:rPr>
                <w:rFonts w:eastAsia="Verdana"/>
                <w:b/>
              </w:rPr>
              <w:t>s</w:t>
            </w:r>
            <w:r w:rsidRPr="002A6DC3">
              <w:rPr>
                <w:rFonts w:eastAsia="Verdana"/>
                <w:b/>
                <w:spacing w:val="-1"/>
              </w:rPr>
              <w:t>h</w:t>
            </w:r>
            <w:r w:rsidRPr="002A6DC3">
              <w:rPr>
                <w:rFonts w:eastAsia="Verdana"/>
                <w:b/>
                <w:spacing w:val="1"/>
              </w:rPr>
              <w:t>o</w:t>
            </w:r>
            <w:r w:rsidRPr="002A6DC3">
              <w:rPr>
                <w:rFonts w:eastAsia="Verdana"/>
                <w:b/>
                <w:spacing w:val="-1"/>
              </w:rPr>
              <w:t>u</w:t>
            </w:r>
            <w:r w:rsidRPr="002A6DC3">
              <w:rPr>
                <w:rFonts w:eastAsia="Verdana"/>
                <w:b/>
                <w:spacing w:val="1"/>
              </w:rPr>
              <w:t>l</w:t>
            </w:r>
            <w:r w:rsidRPr="002A6DC3">
              <w:rPr>
                <w:rFonts w:eastAsia="Verdana"/>
                <w:b/>
              </w:rPr>
              <w:t>d be at the discretion</w:t>
            </w:r>
            <w:r>
              <w:rPr>
                <w:rFonts w:eastAsia="Verdana"/>
              </w:rPr>
              <w:t xml:space="preserve"> of the sponsor.</w:t>
            </w:r>
          </w:p>
          <w:p w14:paraId="104077AF" w14:textId="77777777" w:rsidR="00D90E36" w:rsidRDefault="00D90E36" w:rsidP="00E90EC6">
            <w:pPr>
              <w:pStyle w:val="TabletextrowsAgency"/>
              <w:spacing w:line="240" w:lineRule="auto"/>
            </w:pPr>
          </w:p>
          <w:p w14:paraId="143C28A7" w14:textId="77777777" w:rsidR="00D90E36" w:rsidRDefault="00D90E36" w:rsidP="00E90EC6">
            <w:pPr>
              <w:pStyle w:val="TabletextrowsAgency"/>
              <w:spacing w:line="240" w:lineRule="auto"/>
            </w:pPr>
            <w:r w:rsidRPr="002A6DC3">
              <w:rPr>
                <w:b/>
              </w:rPr>
              <w:t>Proposed change (if any):</w:t>
            </w:r>
            <w:r w:rsidRPr="007C6F92">
              <w:t xml:space="preserve"> </w:t>
            </w:r>
          </w:p>
          <w:p w14:paraId="62F04B5C" w14:textId="77777777" w:rsidR="00D90E36" w:rsidRDefault="00D90E36" w:rsidP="00E90EC6">
            <w:pPr>
              <w:pStyle w:val="TabletextrowsAgency"/>
              <w:spacing w:line="240" w:lineRule="auto"/>
            </w:pPr>
            <w:r>
              <w:t>“A</w:t>
            </w:r>
            <w:r>
              <w:rPr>
                <w:rFonts w:eastAsia="Verdana"/>
              </w:rPr>
              <w:t xml:space="preserve">ntibiotics should </w:t>
            </w:r>
            <w:r>
              <w:rPr>
                <w:rFonts w:eastAsia="Verdana"/>
                <w:spacing w:val="-1"/>
              </w:rPr>
              <w:t>n</w:t>
            </w:r>
            <w:r>
              <w:rPr>
                <w:rFonts w:eastAsia="Verdana"/>
                <w:spacing w:val="1"/>
              </w:rPr>
              <w:t>o</w:t>
            </w:r>
            <w:r>
              <w:rPr>
                <w:rFonts w:eastAsia="Verdana"/>
              </w:rPr>
              <w:t>rma</w:t>
            </w:r>
            <w:r>
              <w:rPr>
                <w:rFonts w:eastAsia="Verdana"/>
                <w:spacing w:val="1"/>
              </w:rPr>
              <w:t>ll</w:t>
            </w:r>
            <w:r>
              <w:rPr>
                <w:rFonts w:eastAsia="Verdana"/>
              </w:rPr>
              <w:t>y</w:t>
            </w:r>
            <w:r>
              <w:rPr>
                <w:rFonts w:eastAsia="Verdana"/>
                <w:spacing w:val="-2"/>
              </w:rPr>
              <w:t xml:space="preserve"> </w:t>
            </w:r>
            <w:r>
              <w:rPr>
                <w:rFonts w:eastAsia="Verdana"/>
                <w:spacing w:val="1"/>
              </w:rPr>
              <w:t>b</w:t>
            </w:r>
            <w:r>
              <w:rPr>
                <w:rFonts w:eastAsia="Verdana"/>
              </w:rPr>
              <w:t xml:space="preserve">e </w:t>
            </w:r>
            <w:r>
              <w:rPr>
                <w:rFonts w:eastAsia="Verdana"/>
                <w:spacing w:val="1"/>
              </w:rPr>
              <w:t>e</w:t>
            </w:r>
            <w:r>
              <w:rPr>
                <w:rFonts w:eastAsia="Verdana"/>
                <w:spacing w:val="-1"/>
              </w:rPr>
              <w:t>x</w:t>
            </w:r>
            <w:r>
              <w:rPr>
                <w:rFonts w:eastAsia="Verdana"/>
              </w:rPr>
              <w:t>c</w:t>
            </w:r>
            <w:r>
              <w:rPr>
                <w:rFonts w:eastAsia="Verdana"/>
                <w:spacing w:val="1"/>
              </w:rPr>
              <w:t>l</w:t>
            </w:r>
            <w:r>
              <w:rPr>
                <w:rFonts w:eastAsia="Verdana"/>
                <w:spacing w:val="-1"/>
              </w:rPr>
              <w:t>u</w:t>
            </w:r>
            <w:r>
              <w:rPr>
                <w:rFonts w:eastAsia="Verdana"/>
                <w:spacing w:val="1"/>
              </w:rPr>
              <w:t>de</w:t>
            </w:r>
            <w:r>
              <w:rPr>
                <w:rFonts w:eastAsia="Verdana"/>
              </w:rPr>
              <w:t xml:space="preserve">d </w:t>
            </w:r>
            <w:r w:rsidRPr="00C224A8">
              <w:rPr>
                <w:rFonts w:eastAsia="Verdana"/>
                <w:b/>
              </w:rPr>
              <w:t xml:space="preserve">and at the discretion of the sponsor </w:t>
            </w:r>
            <w:r>
              <w:rPr>
                <w:rFonts w:eastAsia="Verdana"/>
              </w:rPr>
              <w:t>a</w:t>
            </w:r>
            <w:r>
              <w:rPr>
                <w:rFonts w:eastAsia="Verdana"/>
                <w:spacing w:val="-1"/>
              </w:rPr>
              <w:t>n</w:t>
            </w:r>
            <w:r>
              <w:rPr>
                <w:rFonts w:eastAsia="Verdana"/>
              </w:rPr>
              <w:t xml:space="preserve">d </w:t>
            </w:r>
            <w:r>
              <w:rPr>
                <w:rFonts w:eastAsia="Verdana"/>
                <w:spacing w:val="1"/>
              </w:rPr>
              <w:t>i</w:t>
            </w:r>
            <w:r>
              <w:rPr>
                <w:rFonts w:eastAsia="Verdana"/>
              </w:rPr>
              <w:t>n</w:t>
            </w:r>
            <w:r>
              <w:rPr>
                <w:rFonts w:eastAsia="Verdana"/>
                <w:spacing w:val="-2"/>
              </w:rPr>
              <w:t xml:space="preserve"> </w:t>
            </w:r>
            <w:r>
              <w:rPr>
                <w:rFonts w:eastAsia="Verdana"/>
              </w:rPr>
              <w:t>s</w:t>
            </w:r>
            <w:r>
              <w:rPr>
                <w:rFonts w:eastAsia="Verdana"/>
                <w:spacing w:val="1"/>
              </w:rPr>
              <w:t>e</w:t>
            </w:r>
            <w:r>
              <w:rPr>
                <w:rFonts w:eastAsia="Verdana"/>
                <w:spacing w:val="-1"/>
              </w:rPr>
              <w:t>v</w:t>
            </w:r>
            <w:r>
              <w:rPr>
                <w:rFonts w:eastAsia="Verdana"/>
                <w:spacing w:val="1"/>
              </w:rPr>
              <w:t>e</w:t>
            </w:r>
            <w:r>
              <w:rPr>
                <w:rFonts w:eastAsia="Verdana"/>
              </w:rPr>
              <w:t xml:space="preserve">re </w:t>
            </w:r>
            <w:r>
              <w:rPr>
                <w:rFonts w:eastAsia="Verdana"/>
                <w:spacing w:val="1"/>
              </w:rPr>
              <w:t>di</w:t>
            </w:r>
            <w:r>
              <w:rPr>
                <w:rFonts w:eastAsia="Verdana"/>
              </w:rPr>
              <w:t>s</w:t>
            </w:r>
            <w:r>
              <w:rPr>
                <w:rFonts w:eastAsia="Verdana"/>
                <w:spacing w:val="1"/>
              </w:rPr>
              <w:t>e</w:t>
            </w:r>
            <w:r>
              <w:rPr>
                <w:rFonts w:eastAsia="Verdana"/>
              </w:rPr>
              <w:t>as</w:t>
            </w:r>
            <w:r>
              <w:rPr>
                <w:rFonts w:eastAsia="Verdana"/>
                <w:spacing w:val="1"/>
              </w:rPr>
              <w:t>e</w:t>
            </w:r>
            <w:r>
              <w:rPr>
                <w:rFonts w:eastAsia="Verdana"/>
              </w:rPr>
              <w:t>,</w:t>
            </w:r>
            <w:r>
              <w:rPr>
                <w:rFonts w:eastAsia="Verdana"/>
                <w:spacing w:val="-1"/>
              </w:rPr>
              <w:t xml:space="preserve"> </w:t>
            </w:r>
            <w:r>
              <w:rPr>
                <w:rFonts w:eastAsia="Verdana"/>
              </w:rPr>
              <w:t>a</w:t>
            </w:r>
            <w:r>
              <w:rPr>
                <w:rFonts w:eastAsia="Verdana"/>
                <w:spacing w:val="-1"/>
              </w:rPr>
              <w:t>n</w:t>
            </w:r>
            <w:r>
              <w:rPr>
                <w:rFonts w:eastAsia="Verdana"/>
                <w:spacing w:val="1"/>
              </w:rPr>
              <w:t>t</w:t>
            </w:r>
            <w:r>
              <w:rPr>
                <w:rFonts w:eastAsia="Verdana"/>
              </w:rPr>
              <w:t>i- c</w:t>
            </w:r>
            <w:r>
              <w:rPr>
                <w:rFonts w:eastAsia="Verdana"/>
                <w:spacing w:val="-1"/>
              </w:rPr>
              <w:t>h</w:t>
            </w:r>
            <w:r>
              <w:rPr>
                <w:rFonts w:eastAsia="Verdana"/>
                <w:spacing w:val="1"/>
              </w:rPr>
              <w:t>oli</w:t>
            </w:r>
            <w:r>
              <w:rPr>
                <w:rFonts w:eastAsia="Verdana"/>
                <w:spacing w:val="-1"/>
              </w:rPr>
              <w:t>n</w:t>
            </w:r>
            <w:r>
              <w:rPr>
                <w:rFonts w:eastAsia="Verdana"/>
                <w:spacing w:val="1"/>
              </w:rPr>
              <w:t>e</w:t>
            </w:r>
            <w:r>
              <w:rPr>
                <w:rFonts w:eastAsia="Verdana"/>
              </w:rPr>
              <w:t>r</w:t>
            </w:r>
            <w:r>
              <w:rPr>
                <w:rFonts w:eastAsia="Verdana"/>
                <w:spacing w:val="1"/>
              </w:rPr>
              <w:t>gi</w:t>
            </w:r>
            <w:r>
              <w:rPr>
                <w:rFonts w:eastAsia="Verdana"/>
              </w:rPr>
              <w:t>c,</w:t>
            </w:r>
            <w:r>
              <w:rPr>
                <w:rFonts w:eastAsia="Verdana"/>
                <w:spacing w:val="-1"/>
              </w:rPr>
              <w:t xml:space="preserve"> </w:t>
            </w:r>
            <w:r>
              <w:rPr>
                <w:rFonts w:eastAsia="Verdana"/>
              </w:rPr>
              <w:t>a</w:t>
            </w:r>
            <w:r>
              <w:rPr>
                <w:rFonts w:eastAsia="Verdana"/>
                <w:spacing w:val="-1"/>
              </w:rPr>
              <w:t>n</w:t>
            </w:r>
            <w:r>
              <w:rPr>
                <w:rFonts w:eastAsia="Verdana"/>
                <w:spacing w:val="1"/>
              </w:rPr>
              <w:t>ti</w:t>
            </w:r>
            <w:r>
              <w:rPr>
                <w:rFonts w:eastAsia="Verdana"/>
              </w:rPr>
              <w:t>-</w:t>
            </w:r>
            <w:r>
              <w:rPr>
                <w:rFonts w:eastAsia="Verdana"/>
                <w:spacing w:val="-2"/>
              </w:rPr>
              <w:t>d</w:t>
            </w:r>
            <w:r>
              <w:rPr>
                <w:rFonts w:eastAsia="Verdana"/>
                <w:spacing w:val="1"/>
              </w:rPr>
              <w:t>i</w:t>
            </w:r>
            <w:r>
              <w:rPr>
                <w:rFonts w:eastAsia="Verdana"/>
              </w:rPr>
              <w:t>arr</w:t>
            </w:r>
            <w:r>
              <w:rPr>
                <w:rFonts w:eastAsia="Verdana"/>
                <w:spacing w:val="-1"/>
              </w:rPr>
              <w:t>h</w:t>
            </w:r>
            <w:r>
              <w:rPr>
                <w:rFonts w:eastAsia="Verdana"/>
                <w:spacing w:val="1"/>
              </w:rPr>
              <w:t>oe</w:t>
            </w:r>
            <w:r>
              <w:rPr>
                <w:rFonts w:eastAsia="Verdana"/>
              </w:rPr>
              <w:t>a</w:t>
            </w:r>
            <w:r>
              <w:rPr>
                <w:rFonts w:eastAsia="Verdana"/>
                <w:spacing w:val="-1"/>
              </w:rPr>
              <w:t>l</w:t>
            </w:r>
            <w:r>
              <w:rPr>
                <w:rFonts w:eastAsia="Verdana"/>
              </w:rPr>
              <w:t>,</w:t>
            </w:r>
            <w:r>
              <w:rPr>
                <w:rFonts w:eastAsia="Verdana"/>
                <w:spacing w:val="-1"/>
              </w:rPr>
              <w:t xml:space="preserve"> </w:t>
            </w:r>
            <w:r>
              <w:rPr>
                <w:rFonts w:eastAsia="Verdana"/>
              </w:rPr>
              <w:t>N</w:t>
            </w:r>
            <w:r>
              <w:rPr>
                <w:rFonts w:eastAsia="Verdana"/>
                <w:spacing w:val="-1"/>
              </w:rPr>
              <w:t>S</w:t>
            </w:r>
            <w:r>
              <w:rPr>
                <w:rFonts w:eastAsia="Verdana"/>
                <w:spacing w:val="2"/>
              </w:rPr>
              <w:t>A</w:t>
            </w:r>
            <w:r>
              <w:rPr>
                <w:rFonts w:eastAsia="Verdana"/>
                <w:spacing w:val="-1"/>
              </w:rPr>
              <w:t>I</w:t>
            </w:r>
            <w:r>
              <w:rPr>
                <w:rFonts w:eastAsia="Verdana"/>
              </w:rPr>
              <w:t xml:space="preserve">D </w:t>
            </w:r>
            <w:r>
              <w:rPr>
                <w:rFonts w:eastAsia="Verdana"/>
                <w:spacing w:val="2"/>
              </w:rPr>
              <w:t>a</w:t>
            </w:r>
            <w:r>
              <w:rPr>
                <w:rFonts w:eastAsia="Verdana"/>
                <w:spacing w:val="-1"/>
              </w:rPr>
              <w:t>n</w:t>
            </w:r>
            <w:r>
              <w:rPr>
                <w:rFonts w:eastAsia="Verdana"/>
              </w:rPr>
              <w:t xml:space="preserve">d </w:t>
            </w:r>
            <w:r>
              <w:rPr>
                <w:rFonts w:eastAsia="Verdana"/>
                <w:spacing w:val="1"/>
              </w:rPr>
              <w:t>opio</w:t>
            </w:r>
            <w:r>
              <w:rPr>
                <w:rFonts w:eastAsia="Verdana"/>
                <w:spacing w:val="-1"/>
              </w:rPr>
              <w:t>i</w:t>
            </w:r>
            <w:r>
              <w:rPr>
                <w:rFonts w:eastAsia="Verdana"/>
              </w:rPr>
              <w:t xml:space="preserve">d </w:t>
            </w:r>
            <w:r>
              <w:rPr>
                <w:rFonts w:eastAsia="Verdana"/>
                <w:spacing w:val="1"/>
              </w:rPr>
              <w:t>d</w:t>
            </w:r>
            <w:r>
              <w:rPr>
                <w:rFonts w:eastAsia="Verdana"/>
              </w:rPr>
              <w:t>r</w:t>
            </w:r>
            <w:r>
              <w:rPr>
                <w:rFonts w:eastAsia="Verdana"/>
                <w:spacing w:val="-1"/>
              </w:rPr>
              <w:t>u</w:t>
            </w:r>
            <w:r>
              <w:rPr>
                <w:rFonts w:eastAsia="Verdana"/>
                <w:spacing w:val="1"/>
              </w:rPr>
              <w:t>g</w:t>
            </w:r>
            <w:r>
              <w:rPr>
                <w:rFonts w:eastAsia="Verdana"/>
              </w:rPr>
              <w:t>s</w:t>
            </w:r>
            <w:r>
              <w:rPr>
                <w:rFonts w:eastAsia="Verdana"/>
                <w:spacing w:val="-1"/>
              </w:rPr>
              <w:t xml:space="preserve"> </w:t>
            </w:r>
            <w:r>
              <w:rPr>
                <w:rFonts w:eastAsia="Verdana"/>
              </w:rPr>
              <w:t>s</w:t>
            </w:r>
            <w:r>
              <w:rPr>
                <w:rFonts w:eastAsia="Verdana"/>
                <w:spacing w:val="-1"/>
              </w:rPr>
              <w:t>h</w:t>
            </w:r>
            <w:r>
              <w:rPr>
                <w:rFonts w:eastAsia="Verdana"/>
                <w:spacing w:val="1"/>
              </w:rPr>
              <w:t>o</w:t>
            </w:r>
            <w:r>
              <w:rPr>
                <w:rFonts w:eastAsia="Verdana"/>
                <w:spacing w:val="-1"/>
              </w:rPr>
              <w:t>u</w:t>
            </w:r>
            <w:r>
              <w:rPr>
                <w:rFonts w:eastAsia="Verdana"/>
                <w:spacing w:val="1"/>
              </w:rPr>
              <w:t>l</w:t>
            </w:r>
            <w:r>
              <w:rPr>
                <w:rFonts w:eastAsia="Verdana"/>
              </w:rPr>
              <w:t xml:space="preserve">d </w:t>
            </w:r>
            <w:r>
              <w:rPr>
                <w:rFonts w:eastAsia="Verdana"/>
                <w:spacing w:val="-1"/>
              </w:rPr>
              <w:t>n</w:t>
            </w:r>
            <w:r>
              <w:rPr>
                <w:rFonts w:eastAsia="Verdana"/>
                <w:spacing w:val="1"/>
              </w:rPr>
              <w:t>o</w:t>
            </w:r>
            <w:r>
              <w:rPr>
                <w:rFonts w:eastAsia="Verdana"/>
              </w:rPr>
              <w:t xml:space="preserve">t </w:t>
            </w:r>
            <w:r>
              <w:rPr>
                <w:rFonts w:eastAsia="Verdana"/>
                <w:spacing w:val="1"/>
              </w:rPr>
              <w:t>b</w:t>
            </w:r>
            <w:r>
              <w:rPr>
                <w:rFonts w:eastAsia="Verdana"/>
              </w:rPr>
              <w:t>e a</w:t>
            </w:r>
            <w:r>
              <w:rPr>
                <w:rFonts w:eastAsia="Verdana"/>
                <w:spacing w:val="1"/>
              </w:rPr>
              <w:t>llo</w:t>
            </w:r>
            <w:r>
              <w:rPr>
                <w:rFonts w:eastAsia="Verdana"/>
                <w:spacing w:val="-1"/>
              </w:rPr>
              <w:t>w</w:t>
            </w:r>
            <w:r>
              <w:rPr>
                <w:rFonts w:eastAsia="Verdana"/>
                <w:spacing w:val="-2"/>
              </w:rPr>
              <w:t>e</w:t>
            </w:r>
            <w:r>
              <w:rPr>
                <w:rFonts w:eastAsia="Verdana"/>
              </w:rPr>
              <w:t>d as</w:t>
            </w:r>
            <w:r>
              <w:rPr>
                <w:rFonts w:eastAsia="Verdana"/>
                <w:spacing w:val="-1"/>
              </w:rPr>
              <w:t xml:space="preserve"> </w:t>
            </w:r>
            <w:r>
              <w:rPr>
                <w:rFonts w:eastAsia="Verdana"/>
                <w:spacing w:val="1"/>
              </w:rPr>
              <w:t>t</w:t>
            </w:r>
            <w:r>
              <w:rPr>
                <w:rFonts w:eastAsia="Verdana"/>
                <w:spacing w:val="-1"/>
              </w:rPr>
              <w:t>h</w:t>
            </w:r>
            <w:r>
              <w:rPr>
                <w:rFonts w:eastAsia="Verdana"/>
                <w:spacing w:val="1"/>
              </w:rPr>
              <w:t>e</w:t>
            </w:r>
            <w:r>
              <w:rPr>
                <w:rFonts w:eastAsia="Verdana"/>
              </w:rPr>
              <w:t>y</w:t>
            </w:r>
            <w:r>
              <w:rPr>
                <w:rFonts w:eastAsia="Verdana"/>
                <w:spacing w:val="-2"/>
              </w:rPr>
              <w:t xml:space="preserve"> </w:t>
            </w:r>
            <w:r>
              <w:rPr>
                <w:rFonts w:eastAsia="Verdana"/>
              </w:rPr>
              <w:t>may</w:t>
            </w:r>
            <w:r>
              <w:rPr>
                <w:rFonts w:eastAsia="Verdana"/>
                <w:spacing w:val="-2"/>
              </w:rPr>
              <w:t xml:space="preserve"> </w:t>
            </w:r>
            <w:r>
              <w:rPr>
                <w:rFonts w:eastAsia="Verdana"/>
              </w:rPr>
              <w:t>c</w:t>
            </w:r>
            <w:r>
              <w:rPr>
                <w:rFonts w:eastAsia="Verdana"/>
                <w:spacing w:val="1"/>
              </w:rPr>
              <w:t>o</w:t>
            </w:r>
            <w:r>
              <w:rPr>
                <w:rFonts w:eastAsia="Verdana"/>
                <w:spacing w:val="-1"/>
              </w:rPr>
              <w:t>n</w:t>
            </w:r>
            <w:r>
              <w:rPr>
                <w:rFonts w:eastAsia="Verdana"/>
                <w:spacing w:val="1"/>
              </w:rPr>
              <w:t>t</w:t>
            </w:r>
            <w:r>
              <w:rPr>
                <w:rFonts w:eastAsia="Verdana"/>
              </w:rPr>
              <w:t>r</w:t>
            </w:r>
            <w:r>
              <w:rPr>
                <w:rFonts w:eastAsia="Verdana"/>
                <w:spacing w:val="1"/>
              </w:rPr>
              <w:t>ib</w:t>
            </w:r>
            <w:r>
              <w:rPr>
                <w:rFonts w:eastAsia="Verdana"/>
                <w:spacing w:val="-1"/>
              </w:rPr>
              <w:t>u</w:t>
            </w:r>
            <w:r>
              <w:rPr>
                <w:rFonts w:eastAsia="Verdana"/>
                <w:spacing w:val="1"/>
              </w:rPr>
              <w:t>t</w:t>
            </w:r>
            <w:r>
              <w:rPr>
                <w:rFonts w:eastAsia="Verdana"/>
              </w:rPr>
              <w:t xml:space="preserve">e </w:t>
            </w:r>
            <w:r>
              <w:rPr>
                <w:rFonts w:eastAsia="Verdana"/>
                <w:spacing w:val="1"/>
              </w:rPr>
              <w:t xml:space="preserve">to </w:t>
            </w:r>
            <w:r>
              <w:rPr>
                <w:rFonts w:eastAsia="Verdana"/>
                <w:spacing w:val="-1"/>
              </w:rPr>
              <w:t>w</w:t>
            </w:r>
            <w:r>
              <w:rPr>
                <w:rFonts w:eastAsia="Verdana"/>
                <w:spacing w:val="1"/>
              </w:rPr>
              <w:t>o</w:t>
            </w:r>
            <w:r>
              <w:rPr>
                <w:rFonts w:eastAsia="Verdana"/>
              </w:rPr>
              <w:t>rs</w:t>
            </w:r>
            <w:r>
              <w:rPr>
                <w:rFonts w:eastAsia="Verdana"/>
                <w:spacing w:val="1"/>
              </w:rPr>
              <w:t>e</w:t>
            </w:r>
            <w:r>
              <w:rPr>
                <w:rFonts w:eastAsia="Verdana"/>
                <w:spacing w:val="-1"/>
              </w:rPr>
              <w:t>n</w:t>
            </w:r>
            <w:r>
              <w:rPr>
                <w:rFonts w:eastAsia="Verdana"/>
                <w:spacing w:val="1"/>
              </w:rPr>
              <w:t>i</w:t>
            </w:r>
            <w:r>
              <w:rPr>
                <w:rFonts w:eastAsia="Verdana"/>
                <w:spacing w:val="-1"/>
              </w:rPr>
              <w:t>n</w:t>
            </w:r>
            <w:r>
              <w:rPr>
                <w:rFonts w:eastAsia="Verdana"/>
              </w:rPr>
              <w:t xml:space="preserve">g </w:t>
            </w:r>
            <w:r>
              <w:rPr>
                <w:rFonts w:eastAsia="Verdana"/>
                <w:spacing w:val="1"/>
              </w:rPr>
              <w:t>o</w:t>
            </w:r>
            <w:r>
              <w:rPr>
                <w:rFonts w:eastAsia="Verdana"/>
              </w:rPr>
              <w:t>f</w:t>
            </w:r>
            <w:r>
              <w:rPr>
                <w:rFonts w:eastAsia="Verdana"/>
                <w:spacing w:val="-2"/>
              </w:rPr>
              <w:t xml:space="preserve"> </w:t>
            </w:r>
            <w:r>
              <w:rPr>
                <w:rFonts w:eastAsia="Verdana"/>
                <w:spacing w:val="1"/>
              </w:rPr>
              <w:t>t</w:t>
            </w:r>
            <w:r>
              <w:rPr>
                <w:rFonts w:eastAsia="Verdana"/>
                <w:spacing w:val="-1"/>
              </w:rPr>
              <w:t>h</w:t>
            </w:r>
            <w:r>
              <w:rPr>
                <w:rFonts w:eastAsia="Verdana"/>
              </w:rPr>
              <w:t>e r</w:t>
            </w:r>
            <w:r>
              <w:rPr>
                <w:rFonts w:eastAsia="Verdana"/>
                <w:spacing w:val="1"/>
              </w:rPr>
              <w:t>el</w:t>
            </w:r>
            <w:r>
              <w:rPr>
                <w:rFonts w:eastAsia="Verdana"/>
              </w:rPr>
              <w:t>a</w:t>
            </w:r>
            <w:r>
              <w:rPr>
                <w:rFonts w:eastAsia="Verdana"/>
                <w:spacing w:val="1"/>
              </w:rPr>
              <w:t>p</w:t>
            </w:r>
            <w:r>
              <w:rPr>
                <w:rFonts w:eastAsia="Verdana"/>
              </w:rPr>
              <w:t>s</w:t>
            </w:r>
            <w:r>
              <w:rPr>
                <w:rFonts w:eastAsia="Verdana"/>
                <w:spacing w:val="1"/>
              </w:rPr>
              <w:t>e”.</w:t>
            </w:r>
          </w:p>
        </w:tc>
        <w:tc>
          <w:tcPr>
            <w:tcW w:w="1524" w:type="pct"/>
            <w:shd w:val="clear" w:color="auto" w:fill="E1E3F2"/>
          </w:tcPr>
          <w:p w14:paraId="3787E735" w14:textId="77777777" w:rsidR="00D90E36" w:rsidRPr="00927CD3" w:rsidRDefault="00D90E36" w:rsidP="00E90EC6">
            <w:pPr>
              <w:pStyle w:val="TabletextrowsAgency"/>
              <w:rPr>
                <w:b/>
                <w:color w:val="0000FF"/>
              </w:rPr>
            </w:pPr>
          </w:p>
        </w:tc>
      </w:tr>
      <w:tr w:rsidR="00D90E36" w14:paraId="2F636B30" w14:textId="77777777" w:rsidTr="004A0B3B">
        <w:tc>
          <w:tcPr>
            <w:tcW w:w="645" w:type="pct"/>
            <w:shd w:val="clear" w:color="auto" w:fill="E1E3F2"/>
          </w:tcPr>
          <w:p w14:paraId="4EB4F743" w14:textId="77777777" w:rsidR="00D90E36" w:rsidRDefault="00D90E36" w:rsidP="00E90EC6">
            <w:pPr>
              <w:pStyle w:val="TabletextrowsAgency"/>
              <w:spacing w:line="240" w:lineRule="auto"/>
            </w:pPr>
            <w:r>
              <w:t>402-404</w:t>
            </w:r>
          </w:p>
        </w:tc>
        <w:tc>
          <w:tcPr>
            <w:tcW w:w="822" w:type="pct"/>
            <w:shd w:val="clear" w:color="auto" w:fill="E1E3F2"/>
          </w:tcPr>
          <w:p w14:paraId="0F7EAC5F" w14:textId="7FEB71DE" w:rsidR="00D90E36" w:rsidRDefault="00D90E36" w:rsidP="00E90EC6">
            <w:pPr>
              <w:pStyle w:val="TabletextrowsAgency"/>
              <w:spacing w:line="240" w:lineRule="auto"/>
            </w:pPr>
          </w:p>
        </w:tc>
        <w:tc>
          <w:tcPr>
            <w:tcW w:w="2009" w:type="pct"/>
            <w:shd w:val="clear" w:color="auto" w:fill="E1E3F2"/>
          </w:tcPr>
          <w:p w14:paraId="09A762A0" w14:textId="77777777" w:rsidR="00D90E36" w:rsidRDefault="00D90E36" w:rsidP="00E90EC6">
            <w:pPr>
              <w:pStyle w:val="TabletextrowsAgency"/>
              <w:spacing w:line="240" w:lineRule="auto"/>
            </w:pPr>
            <w:r>
              <w:t xml:space="preserve">It is infeasible to exclude antidiarrheal and pain medications in a </w:t>
            </w:r>
            <w:proofErr w:type="gramStart"/>
            <w:r>
              <w:t>52 week</w:t>
            </w:r>
            <w:proofErr w:type="gramEnd"/>
            <w:r>
              <w:t xml:space="preserve"> study in this patient population.  Exclusion of these medications will greatly limit enrolment and limit generalizability of studies in patients with UC</w:t>
            </w:r>
          </w:p>
        </w:tc>
        <w:tc>
          <w:tcPr>
            <w:tcW w:w="1524" w:type="pct"/>
            <w:shd w:val="clear" w:color="auto" w:fill="E1E3F2"/>
          </w:tcPr>
          <w:p w14:paraId="757F4ABF" w14:textId="77777777" w:rsidR="00D90E36" w:rsidRPr="004F1038" w:rsidRDefault="00D90E36" w:rsidP="00E90EC6">
            <w:pPr>
              <w:pStyle w:val="TabletextrowsAgency"/>
              <w:rPr>
                <w:b/>
              </w:rPr>
            </w:pPr>
          </w:p>
        </w:tc>
      </w:tr>
      <w:tr w:rsidR="00D90E36" w14:paraId="12F546D7" w14:textId="77777777" w:rsidTr="004A0B3B">
        <w:tc>
          <w:tcPr>
            <w:tcW w:w="645" w:type="pct"/>
            <w:shd w:val="clear" w:color="auto" w:fill="E1E3F2"/>
          </w:tcPr>
          <w:p w14:paraId="1413D633" w14:textId="77777777" w:rsidR="00D90E36" w:rsidRDefault="00D90E36" w:rsidP="00E90EC6">
            <w:pPr>
              <w:pStyle w:val="TabletextrowsAgency"/>
              <w:spacing w:line="240" w:lineRule="auto"/>
            </w:pPr>
            <w:r>
              <w:t>422</w:t>
            </w:r>
          </w:p>
        </w:tc>
        <w:tc>
          <w:tcPr>
            <w:tcW w:w="822" w:type="pct"/>
            <w:shd w:val="clear" w:color="auto" w:fill="E1E3F2"/>
          </w:tcPr>
          <w:p w14:paraId="580D1A1F" w14:textId="6BA77B24" w:rsidR="00D90E36" w:rsidRPr="00867830" w:rsidRDefault="00D90E36" w:rsidP="00E90EC6">
            <w:pPr>
              <w:pStyle w:val="TabletextrowsAgency"/>
              <w:spacing w:line="240" w:lineRule="auto"/>
              <w:rPr>
                <w:b/>
              </w:rPr>
            </w:pPr>
          </w:p>
        </w:tc>
        <w:tc>
          <w:tcPr>
            <w:tcW w:w="2009" w:type="pct"/>
            <w:shd w:val="clear" w:color="auto" w:fill="E1E3F2"/>
          </w:tcPr>
          <w:p w14:paraId="09B00EED" w14:textId="77777777" w:rsidR="00D90E36" w:rsidRDefault="00D90E36" w:rsidP="00E90EC6">
            <w:pPr>
              <w:pStyle w:val="TabletextrowsAgency"/>
              <w:spacing w:line="240" w:lineRule="auto"/>
            </w:pPr>
            <w:r w:rsidRPr="00BE4945">
              <w:rPr>
                <w:b/>
              </w:rPr>
              <w:t>Comment:</w:t>
            </w:r>
            <w:r>
              <w:t xml:space="preserve"> “Furthermore, it is important to get information on re-treatment outcomes even after a longer time interval without treatment with a specific drug.”</w:t>
            </w:r>
          </w:p>
          <w:p w14:paraId="423950A5" w14:textId="77777777" w:rsidR="00D90E36" w:rsidRDefault="00D90E36" w:rsidP="00E90EC6">
            <w:pPr>
              <w:pStyle w:val="TabletextrowsAgency"/>
              <w:spacing w:line="240" w:lineRule="auto"/>
            </w:pPr>
            <w:r>
              <w:t>Given this information may take long time to collect, it should not be a requirement for the initial submission. Please specify whether this information can be provided post marketing</w:t>
            </w:r>
          </w:p>
          <w:p w14:paraId="2BD7ACC6" w14:textId="77777777" w:rsidR="00D90E36" w:rsidRDefault="00D90E36" w:rsidP="00E90EC6">
            <w:pPr>
              <w:pStyle w:val="TabletextrowsAgency"/>
              <w:spacing w:line="240" w:lineRule="auto"/>
            </w:pPr>
          </w:p>
          <w:p w14:paraId="0C0BF1D0" w14:textId="77777777" w:rsidR="00D90E36" w:rsidRPr="009B1042" w:rsidRDefault="00D90E36" w:rsidP="00E90EC6">
            <w:pPr>
              <w:pStyle w:val="TabletextrowsAgency"/>
              <w:spacing w:line="240" w:lineRule="auto"/>
            </w:pPr>
            <w:r w:rsidRPr="00BE4945">
              <w:rPr>
                <w:b/>
              </w:rPr>
              <w:t>Proposed change (if any):</w:t>
            </w:r>
            <w:r>
              <w:t xml:space="preserve"> Furthermore, it is important to get information on re-treatment outcomes even after a longer time interval without treatment with a specific drug, </w:t>
            </w:r>
            <w:r w:rsidRPr="00672642">
              <w:rPr>
                <w:b/>
              </w:rPr>
              <w:t>this should be considered as part of post marketing commitment</w:t>
            </w:r>
          </w:p>
        </w:tc>
        <w:tc>
          <w:tcPr>
            <w:tcW w:w="1524" w:type="pct"/>
            <w:shd w:val="clear" w:color="auto" w:fill="E1E3F2"/>
          </w:tcPr>
          <w:p w14:paraId="41486FC9" w14:textId="77777777" w:rsidR="00D90E36" w:rsidRPr="00927CD3" w:rsidRDefault="00D90E36" w:rsidP="00E90EC6">
            <w:pPr>
              <w:pStyle w:val="TabletextrowsAgency"/>
              <w:rPr>
                <w:b/>
                <w:color w:val="0000FF"/>
              </w:rPr>
            </w:pPr>
          </w:p>
        </w:tc>
      </w:tr>
      <w:tr w:rsidR="00D90E36" w14:paraId="757CF554" w14:textId="77777777" w:rsidTr="004A0B3B">
        <w:tc>
          <w:tcPr>
            <w:tcW w:w="645" w:type="pct"/>
            <w:shd w:val="clear" w:color="auto" w:fill="E1E3F2"/>
          </w:tcPr>
          <w:p w14:paraId="66AB7142" w14:textId="77777777" w:rsidR="00D90E36" w:rsidRDefault="00D90E36" w:rsidP="00E90EC6">
            <w:pPr>
              <w:pStyle w:val="TabletextrowsAgency"/>
              <w:tabs>
                <w:tab w:val="left" w:pos="935"/>
              </w:tabs>
              <w:spacing w:line="240" w:lineRule="auto"/>
            </w:pPr>
            <w:r>
              <w:t>431</w:t>
            </w:r>
            <w:r>
              <w:tab/>
            </w:r>
          </w:p>
        </w:tc>
        <w:tc>
          <w:tcPr>
            <w:tcW w:w="822" w:type="pct"/>
            <w:shd w:val="clear" w:color="auto" w:fill="E1E3F2"/>
          </w:tcPr>
          <w:p w14:paraId="5A24D1EF" w14:textId="1D10001C" w:rsidR="00D90E36" w:rsidRDefault="00D90E36" w:rsidP="00E90EC6">
            <w:pPr>
              <w:pStyle w:val="TabletextrowsAgency"/>
              <w:spacing w:line="240" w:lineRule="auto"/>
            </w:pPr>
          </w:p>
        </w:tc>
        <w:tc>
          <w:tcPr>
            <w:tcW w:w="2009" w:type="pct"/>
            <w:shd w:val="clear" w:color="auto" w:fill="E1E3F2"/>
          </w:tcPr>
          <w:p w14:paraId="51969950" w14:textId="77777777" w:rsidR="00D90E36" w:rsidRDefault="00D90E36" w:rsidP="00E90EC6">
            <w:pPr>
              <w:pStyle w:val="TabletextrowsAgency"/>
              <w:spacing w:line="240" w:lineRule="auto"/>
            </w:pPr>
            <w:r w:rsidRPr="002A6DC3">
              <w:rPr>
                <w:b/>
              </w:rPr>
              <w:t>Comment:</w:t>
            </w:r>
            <w:r>
              <w:t xml:space="preserve"> Please clarify that paediatric Ulcerative Colitis is a rare disease in younger children.</w:t>
            </w:r>
            <w:r>
              <w:rPr>
                <w:rFonts w:eastAsia="Verdana"/>
              </w:rPr>
              <w:t xml:space="preserve"> </w:t>
            </w:r>
          </w:p>
          <w:p w14:paraId="19846396" w14:textId="77777777" w:rsidR="00D90E36" w:rsidRDefault="00D90E36" w:rsidP="00E90EC6">
            <w:pPr>
              <w:pStyle w:val="TabletextrowsAgency"/>
              <w:spacing w:line="240" w:lineRule="auto"/>
            </w:pPr>
          </w:p>
          <w:p w14:paraId="06ED3CF3" w14:textId="77777777" w:rsidR="00D90E36" w:rsidRDefault="00D90E36" w:rsidP="00E90EC6">
            <w:pPr>
              <w:pStyle w:val="TabletextrowsAgency"/>
              <w:spacing w:line="240" w:lineRule="auto"/>
            </w:pPr>
            <w:r w:rsidRPr="002A6DC3">
              <w:rPr>
                <w:b/>
              </w:rPr>
              <w:t>Proposed change (if any):</w:t>
            </w:r>
            <w:r>
              <w:t xml:space="preserve"> </w:t>
            </w:r>
          </w:p>
          <w:p w14:paraId="5647E661" w14:textId="77777777" w:rsidR="00D90E36" w:rsidRDefault="00D90E36" w:rsidP="00E90EC6">
            <w:pPr>
              <w:pStyle w:val="TabletextrowsAgency"/>
              <w:spacing w:line="240" w:lineRule="auto"/>
            </w:pPr>
            <w:r>
              <w:t>“</w:t>
            </w:r>
            <w:r w:rsidRPr="00E4323D">
              <w:rPr>
                <w:b/>
              </w:rPr>
              <w:t xml:space="preserve">Paediatric </w:t>
            </w:r>
            <w:r w:rsidRPr="008469CD">
              <w:t>UC</w:t>
            </w:r>
            <w:r w:rsidRPr="00E4323D">
              <w:rPr>
                <w:b/>
              </w:rPr>
              <w:t xml:space="preserve"> </w:t>
            </w:r>
            <w:r w:rsidRPr="008469CD">
              <w:t>is</w:t>
            </w:r>
            <w:r w:rsidRPr="00E4323D">
              <w:rPr>
                <w:b/>
              </w:rPr>
              <w:t xml:space="preserve"> a </w:t>
            </w:r>
            <w:r w:rsidRPr="008469CD">
              <w:t>rare</w:t>
            </w:r>
            <w:r w:rsidRPr="00E4323D">
              <w:rPr>
                <w:b/>
              </w:rPr>
              <w:t xml:space="preserve"> disease and younger </w:t>
            </w:r>
            <w:r w:rsidRPr="008469CD">
              <w:rPr>
                <w:b/>
                <w:strike/>
              </w:rPr>
              <w:t xml:space="preserve">in </w:t>
            </w:r>
            <w:r w:rsidRPr="00E4323D">
              <w:rPr>
                <w:b/>
              </w:rPr>
              <w:t>children (i.e. under 4)</w:t>
            </w:r>
            <w:r>
              <w:t xml:space="preserve"> </w:t>
            </w:r>
            <w:r w:rsidRPr="008469CD">
              <w:rPr>
                <w:strike/>
              </w:rPr>
              <w:t xml:space="preserve">below 10 years of age </w:t>
            </w:r>
            <w:r>
              <w:t>may develop a different disease phenotype compared with adolescents or adults.”</w:t>
            </w:r>
          </w:p>
        </w:tc>
        <w:tc>
          <w:tcPr>
            <w:tcW w:w="1524" w:type="pct"/>
            <w:shd w:val="clear" w:color="auto" w:fill="E1E3F2"/>
          </w:tcPr>
          <w:p w14:paraId="1F5E089B" w14:textId="77777777" w:rsidR="00D90E36" w:rsidRPr="00927CD3" w:rsidRDefault="00D90E36" w:rsidP="00E90EC6">
            <w:pPr>
              <w:pStyle w:val="TabletextrowsAgency"/>
              <w:rPr>
                <w:b/>
                <w:color w:val="0000FF"/>
              </w:rPr>
            </w:pPr>
          </w:p>
        </w:tc>
      </w:tr>
      <w:tr w:rsidR="00D90E36" w14:paraId="3A03D3E7" w14:textId="77777777" w:rsidTr="004A0B3B">
        <w:tc>
          <w:tcPr>
            <w:tcW w:w="645" w:type="pct"/>
            <w:shd w:val="clear" w:color="auto" w:fill="E1E3F2"/>
          </w:tcPr>
          <w:p w14:paraId="55DC7B3F" w14:textId="77777777" w:rsidR="00D90E36" w:rsidRDefault="00D90E36" w:rsidP="00E90EC6">
            <w:pPr>
              <w:pStyle w:val="TabletextrowsAgency"/>
              <w:spacing w:line="240" w:lineRule="auto"/>
            </w:pPr>
            <w:r>
              <w:t>488</w:t>
            </w:r>
          </w:p>
        </w:tc>
        <w:tc>
          <w:tcPr>
            <w:tcW w:w="822" w:type="pct"/>
            <w:shd w:val="clear" w:color="auto" w:fill="E1E3F2"/>
          </w:tcPr>
          <w:p w14:paraId="0670F0BD" w14:textId="167A6496" w:rsidR="00D90E36" w:rsidRDefault="00D90E36" w:rsidP="00E90EC6">
            <w:pPr>
              <w:pStyle w:val="TabletextrowsAgency"/>
              <w:spacing w:line="240" w:lineRule="auto"/>
            </w:pPr>
          </w:p>
        </w:tc>
        <w:tc>
          <w:tcPr>
            <w:tcW w:w="2009" w:type="pct"/>
            <w:shd w:val="clear" w:color="auto" w:fill="E1E3F2"/>
          </w:tcPr>
          <w:p w14:paraId="35D035C3" w14:textId="77777777" w:rsidR="00D90E36" w:rsidRDefault="00D90E36" w:rsidP="00E90EC6">
            <w:pPr>
              <w:pStyle w:val="TabletextrowsAgency"/>
              <w:spacing w:line="240" w:lineRule="auto"/>
            </w:pPr>
            <w:r w:rsidRPr="002A6DC3">
              <w:rPr>
                <w:b/>
              </w:rPr>
              <w:t>Comment:</w:t>
            </w:r>
            <w:r>
              <w:t xml:space="preserve"> Please clarify that clinical remission is the same for both adults and children.</w:t>
            </w:r>
          </w:p>
        </w:tc>
        <w:tc>
          <w:tcPr>
            <w:tcW w:w="1524" w:type="pct"/>
            <w:shd w:val="clear" w:color="auto" w:fill="E1E3F2"/>
          </w:tcPr>
          <w:p w14:paraId="0FAB4F09" w14:textId="77777777" w:rsidR="00D90E36" w:rsidRDefault="00D90E36" w:rsidP="00E90EC6">
            <w:pPr>
              <w:pStyle w:val="TabletextrowsAgency"/>
            </w:pPr>
          </w:p>
        </w:tc>
      </w:tr>
      <w:tr w:rsidR="00D90E36" w14:paraId="39EB0AA9" w14:textId="77777777" w:rsidTr="004A0B3B">
        <w:tc>
          <w:tcPr>
            <w:tcW w:w="645" w:type="pct"/>
            <w:shd w:val="clear" w:color="auto" w:fill="E1E3F2"/>
          </w:tcPr>
          <w:p w14:paraId="3FE51145" w14:textId="77777777" w:rsidR="00D90E36" w:rsidRDefault="00D90E36" w:rsidP="00E90EC6">
            <w:pPr>
              <w:pStyle w:val="TabletextrowsAgency"/>
              <w:spacing w:line="240" w:lineRule="auto"/>
            </w:pPr>
            <w:r>
              <w:t>488-489</w:t>
            </w:r>
          </w:p>
        </w:tc>
        <w:tc>
          <w:tcPr>
            <w:tcW w:w="822" w:type="pct"/>
            <w:shd w:val="clear" w:color="auto" w:fill="E1E3F2"/>
          </w:tcPr>
          <w:p w14:paraId="51D4616D" w14:textId="51DB077E" w:rsidR="00D90E36" w:rsidRPr="007C6F92" w:rsidRDefault="00D90E36" w:rsidP="00E90EC6">
            <w:pPr>
              <w:pStyle w:val="TabletextrowsAgency"/>
              <w:spacing w:line="240" w:lineRule="auto"/>
            </w:pPr>
          </w:p>
        </w:tc>
        <w:tc>
          <w:tcPr>
            <w:tcW w:w="2009" w:type="pct"/>
            <w:shd w:val="clear" w:color="auto" w:fill="E1E3F2"/>
          </w:tcPr>
          <w:p w14:paraId="5BAA78E0" w14:textId="77777777" w:rsidR="00D90E36" w:rsidRPr="009B1042" w:rsidRDefault="00D90E36" w:rsidP="00E90EC6">
            <w:pPr>
              <w:pStyle w:val="CommentText"/>
              <w:rPr>
                <w:rFonts w:cs="Verdana"/>
                <w:sz w:val="18"/>
                <w:szCs w:val="18"/>
              </w:rPr>
            </w:pPr>
            <w:r w:rsidRPr="00E3461B">
              <w:rPr>
                <w:rFonts w:eastAsia="Times New Roman" w:cs="Verdana"/>
                <w:b/>
                <w:sz w:val="18"/>
                <w:szCs w:val="18"/>
              </w:rPr>
              <w:t>Comment:</w:t>
            </w:r>
            <w:r w:rsidRPr="00E3461B">
              <w:rPr>
                <w:rFonts w:eastAsia="Times New Roman" w:cs="Verdana"/>
                <w:sz w:val="18"/>
                <w:szCs w:val="18"/>
              </w:rPr>
              <w:t xml:space="preserve"> Please clarify that clinical remission and endoscopic MH could be separated in time. </w:t>
            </w:r>
            <w:r w:rsidRPr="00E3461B">
              <w:rPr>
                <w:rFonts w:eastAsia="Times New Roman" w:cs="Verdana"/>
                <w:sz w:val="18"/>
                <w:szCs w:val="18"/>
              </w:rPr>
              <w:br/>
              <w:t xml:space="preserve">How do you re-randomize, based on the co-primary endpoint? </w:t>
            </w:r>
            <w:r w:rsidRPr="00E3461B">
              <w:rPr>
                <w:rFonts w:cs="Verdana"/>
                <w:sz w:val="18"/>
                <w:szCs w:val="18"/>
              </w:rPr>
              <w:t>Can you re-randomize based on response?</w:t>
            </w:r>
          </w:p>
        </w:tc>
        <w:tc>
          <w:tcPr>
            <w:tcW w:w="1524" w:type="pct"/>
            <w:shd w:val="clear" w:color="auto" w:fill="E1E3F2"/>
          </w:tcPr>
          <w:p w14:paraId="35EC00E4" w14:textId="77777777" w:rsidR="00D90E36" w:rsidRPr="00176E8C" w:rsidRDefault="00D90E36" w:rsidP="00E90EC6">
            <w:pPr>
              <w:pStyle w:val="TabletextrowsAgency"/>
              <w:rPr>
                <w:b/>
                <w:color w:val="0000FF"/>
              </w:rPr>
            </w:pPr>
          </w:p>
        </w:tc>
      </w:tr>
      <w:tr w:rsidR="00D90E36" w14:paraId="4A8BC3E7" w14:textId="77777777" w:rsidTr="004A0B3B">
        <w:tc>
          <w:tcPr>
            <w:tcW w:w="645" w:type="pct"/>
            <w:shd w:val="clear" w:color="auto" w:fill="E1E3F2"/>
          </w:tcPr>
          <w:p w14:paraId="0904DB73" w14:textId="77777777" w:rsidR="00D90E36" w:rsidRDefault="00D90E36" w:rsidP="00E90EC6">
            <w:pPr>
              <w:pStyle w:val="TabletextrowsAgency"/>
              <w:spacing w:line="240" w:lineRule="auto"/>
            </w:pPr>
            <w:r>
              <w:t>492-493</w:t>
            </w:r>
          </w:p>
        </w:tc>
        <w:tc>
          <w:tcPr>
            <w:tcW w:w="822" w:type="pct"/>
            <w:shd w:val="clear" w:color="auto" w:fill="E1E3F2"/>
          </w:tcPr>
          <w:p w14:paraId="1A638D64" w14:textId="5DECC291" w:rsidR="00D90E36" w:rsidRDefault="00D90E36" w:rsidP="00E90EC6">
            <w:pPr>
              <w:pStyle w:val="TabletextrowsAgency"/>
              <w:spacing w:line="240" w:lineRule="auto"/>
            </w:pPr>
          </w:p>
        </w:tc>
        <w:tc>
          <w:tcPr>
            <w:tcW w:w="2009" w:type="pct"/>
            <w:shd w:val="clear" w:color="auto" w:fill="E1E3F2"/>
          </w:tcPr>
          <w:p w14:paraId="7833FB28" w14:textId="77777777" w:rsidR="00D90E36" w:rsidRPr="007C6F92" w:rsidRDefault="00D90E36" w:rsidP="00E90EC6">
            <w:pPr>
              <w:pStyle w:val="TabletextrowsAgency"/>
              <w:spacing w:line="240" w:lineRule="auto"/>
            </w:pPr>
            <w:r w:rsidRPr="002A6DC3">
              <w:rPr>
                <w:b/>
              </w:rPr>
              <w:t>Comment:</w:t>
            </w:r>
            <w:r w:rsidRPr="007C6F92">
              <w:t xml:space="preserve"> Please clarify that</w:t>
            </w:r>
            <w:r w:rsidRPr="007C6F92">
              <w:rPr>
                <w:b/>
              </w:rPr>
              <w:t xml:space="preserve"> </w:t>
            </w:r>
            <w:r w:rsidRPr="007C6F92">
              <w:t xml:space="preserve">endoscopy can be performed within a subset of patients. </w:t>
            </w:r>
          </w:p>
        </w:tc>
        <w:tc>
          <w:tcPr>
            <w:tcW w:w="1524" w:type="pct"/>
            <w:shd w:val="clear" w:color="auto" w:fill="E1E3F2"/>
          </w:tcPr>
          <w:p w14:paraId="7D3738D2" w14:textId="77777777" w:rsidR="00D90E36" w:rsidRPr="00176E8C" w:rsidRDefault="00D90E36" w:rsidP="00E90EC6">
            <w:pPr>
              <w:pStyle w:val="TabletextrowsAgency"/>
              <w:rPr>
                <w:b/>
                <w:color w:val="0000FF"/>
              </w:rPr>
            </w:pPr>
          </w:p>
        </w:tc>
      </w:tr>
      <w:tr w:rsidR="00D90E36" w14:paraId="4FCC1D8D" w14:textId="77777777" w:rsidTr="004A0B3B">
        <w:tc>
          <w:tcPr>
            <w:tcW w:w="645" w:type="pct"/>
            <w:shd w:val="clear" w:color="auto" w:fill="E1E3F2"/>
          </w:tcPr>
          <w:p w14:paraId="6EE7593F" w14:textId="77777777" w:rsidR="00D90E36" w:rsidRDefault="00D90E36" w:rsidP="00E90EC6">
            <w:pPr>
              <w:pStyle w:val="TabletextrowsAgency"/>
              <w:spacing w:line="240" w:lineRule="auto"/>
            </w:pPr>
            <w:r>
              <w:t xml:space="preserve">495-496 </w:t>
            </w:r>
          </w:p>
        </w:tc>
        <w:tc>
          <w:tcPr>
            <w:tcW w:w="822" w:type="pct"/>
            <w:shd w:val="clear" w:color="auto" w:fill="E1E3F2"/>
          </w:tcPr>
          <w:p w14:paraId="3C57A80B" w14:textId="6B8D08D2" w:rsidR="00D90E36" w:rsidRPr="00233AB9" w:rsidRDefault="00D90E36" w:rsidP="00E90EC6">
            <w:pPr>
              <w:pStyle w:val="TabletextrowsAgency"/>
              <w:spacing w:line="240" w:lineRule="auto"/>
              <w:rPr>
                <w:b/>
                <w:highlight w:val="cyan"/>
              </w:rPr>
            </w:pPr>
          </w:p>
        </w:tc>
        <w:tc>
          <w:tcPr>
            <w:tcW w:w="2009" w:type="pct"/>
            <w:shd w:val="clear" w:color="auto" w:fill="E1E3F2"/>
          </w:tcPr>
          <w:p w14:paraId="09D6860A" w14:textId="77777777" w:rsidR="00D90E36" w:rsidRPr="00BE4945" w:rsidRDefault="00D90E36" w:rsidP="00E90EC6">
            <w:pPr>
              <w:pStyle w:val="TabletextrowsAgency"/>
              <w:spacing w:line="240" w:lineRule="auto"/>
              <w:rPr>
                <w:b/>
              </w:rPr>
            </w:pPr>
            <w:r w:rsidRPr="00BE4945">
              <w:rPr>
                <w:b/>
              </w:rPr>
              <w:t xml:space="preserve">Comment: </w:t>
            </w:r>
            <w:r w:rsidRPr="003476DF">
              <w:t>In a paediatric UC population, the revised guideline proposes use of the PUCAI as a surrogate for symptomatic remission. However, there are two versions of the PUCAI – one which is self-reported by the patients (PRO) and another which is reported by the physician/investigator (</w:t>
            </w:r>
            <w:proofErr w:type="spellStart"/>
            <w:r w:rsidRPr="003476DF">
              <w:t>ClinRO</w:t>
            </w:r>
            <w:proofErr w:type="spellEnd"/>
            <w:r w:rsidRPr="003476DF">
              <w:t>). Guidelines from ISPOR (</w:t>
            </w:r>
            <w:proofErr w:type="spellStart"/>
            <w:r w:rsidRPr="003476DF">
              <w:t>Matza</w:t>
            </w:r>
            <w:proofErr w:type="spellEnd"/>
            <w:r w:rsidRPr="003476DF">
              <w:t xml:space="preserve"> et al., Value in Health 16 (2013) 461 – 479) suggest that reliability of responses to a PRO cannot be assumed before the age of 8 (assuming no cognitive functioning deficits). Given that the agency proposes that “the clinical development program should include children from 2 years of age and older”, does the agency have any advice on when to utilise the PRO and the </w:t>
            </w:r>
            <w:proofErr w:type="spellStart"/>
            <w:r w:rsidRPr="003476DF">
              <w:t>ClinRO</w:t>
            </w:r>
            <w:proofErr w:type="spellEnd"/>
            <w:r w:rsidRPr="003476DF">
              <w:t xml:space="preserve"> version of the PUCAI?</w:t>
            </w:r>
          </w:p>
          <w:p w14:paraId="05E0F186" w14:textId="77777777" w:rsidR="00D90E36" w:rsidRDefault="00D90E36" w:rsidP="00E90EC6">
            <w:pPr>
              <w:pStyle w:val="TabletextrowsAgency"/>
              <w:spacing w:line="240" w:lineRule="auto"/>
            </w:pPr>
          </w:p>
          <w:p w14:paraId="219E4486" w14:textId="77777777" w:rsidR="00D90E36" w:rsidRPr="009B1042" w:rsidRDefault="00D90E36" w:rsidP="00E90EC6">
            <w:pPr>
              <w:pStyle w:val="TabletextrowsAgency"/>
              <w:spacing w:line="240" w:lineRule="auto"/>
            </w:pPr>
            <w:r w:rsidRPr="00BE4945">
              <w:rPr>
                <w:b/>
              </w:rPr>
              <w:t>Proposed change (if any):</w:t>
            </w:r>
            <w:r>
              <w:t xml:space="preserve"> clarify which version of the PUCAI EMA recommends for paediatric studies</w:t>
            </w:r>
          </w:p>
        </w:tc>
        <w:tc>
          <w:tcPr>
            <w:tcW w:w="1524" w:type="pct"/>
            <w:shd w:val="clear" w:color="auto" w:fill="E1E3F2"/>
          </w:tcPr>
          <w:p w14:paraId="4FB78DEA" w14:textId="77777777" w:rsidR="00D90E36" w:rsidRPr="00927CD3" w:rsidRDefault="00D90E36" w:rsidP="00E90EC6">
            <w:pPr>
              <w:pStyle w:val="TabletextrowsAgency"/>
              <w:rPr>
                <w:b/>
                <w:color w:val="0000FF"/>
              </w:rPr>
            </w:pPr>
          </w:p>
        </w:tc>
      </w:tr>
      <w:tr w:rsidR="00D90E36" w14:paraId="5C9C9B21" w14:textId="77777777" w:rsidTr="004A0B3B">
        <w:tc>
          <w:tcPr>
            <w:tcW w:w="645" w:type="pct"/>
            <w:shd w:val="clear" w:color="auto" w:fill="E1E3F2"/>
          </w:tcPr>
          <w:p w14:paraId="6496985E" w14:textId="77777777" w:rsidR="00D90E36" w:rsidRDefault="00E7285A" w:rsidP="00E90EC6">
            <w:pPr>
              <w:pStyle w:val="TabletextrowsAgency"/>
              <w:spacing w:line="240" w:lineRule="auto"/>
            </w:pPr>
            <w:r>
              <w:t>498-499,</w:t>
            </w:r>
            <w:r w:rsidR="00D90E36">
              <w:t xml:space="preserve"> 500-503</w:t>
            </w:r>
          </w:p>
        </w:tc>
        <w:tc>
          <w:tcPr>
            <w:tcW w:w="822" w:type="pct"/>
            <w:shd w:val="clear" w:color="auto" w:fill="E1E3F2"/>
          </w:tcPr>
          <w:p w14:paraId="00602871" w14:textId="0DF86345" w:rsidR="00D90E36" w:rsidRDefault="00D90E36" w:rsidP="00E90EC6">
            <w:pPr>
              <w:pStyle w:val="TabletextrowsAgency"/>
              <w:spacing w:line="240" w:lineRule="auto"/>
            </w:pPr>
          </w:p>
        </w:tc>
        <w:tc>
          <w:tcPr>
            <w:tcW w:w="2009" w:type="pct"/>
            <w:shd w:val="clear" w:color="auto" w:fill="E1E3F2"/>
          </w:tcPr>
          <w:p w14:paraId="03FC25CF" w14:textId="77777777" w:rsidR="00D90E36" w:rsidRDefault="00D90E36" w:rsidP="00E90EC6">
            <w:pPr>
              <w:pStyle w:val="TabletextrowsAgency"/>
              <w:spacing w:line="240" w:lineRule="auto"/>
            </w:pPr>
            <w:r>
              <w:t xml:space="preserve">“Sustained relapse-free steroid-free remission” is a stringent endpoint (more stringent even than the endpoint advocated for adults” and may discount benefit in subjects who achieve remission but are not entirely able to discontinue steroids or who suffer a brief relapse but subsequently improve.  It is acknowledged that steroid-free remission is an appropriate endpoint for a given patient, it is potentially overly stringent for a clinical trial endpoint, especially in a heavily treatment refractory population with a large unmet need.  </w:t>
            </w:r>
          </w:p>
        </w:tc>
        <w:tc>
          <w:tcPr>
            <w:tcW w:w="1524" w:type="pct"/>
            <w:shd w:val="clear" w:color="auto" w:fill="E1E3F2"/>
          </w:tcPr>
          <w:p w14:paraId="7B4336DC" w14:textId="77777777" w:rsidR="00D90E36" w:rsidRPr="0093383E" w:rsidRDefault="00D90E36" w:rsidP="00E90EC6">
            <w:pPr>
              <w:pStyle w:val="TabletextrowsAgency"/>
              <w:rPr>
                <w:b/>
                <w:color w:val="17365D" w:themeColor="text2" w:themeShade="BF"/>
              </w:rPr>
            </w:pPr>
          </w:p>
        </w:tc>
      </w:tr>
      <w:tr w:rsidR="00D90E36" w14:paraId="1109FC90" w14:textId="77777777" w:rsidTr="004A0B3B">
        <w:tc>
          <w:tcPr>
            <w:tcW w:w="645" w:type="pct"/>
            <w:shd w:val="clear" w:color="auto" w:fill="E1E3F2"/>
          </w:tcPr>
          <w:p w14:paraId="7EF828C3" w14:textId="77777777" w:rsidR="00D90E36" w:rsidRDefault="00D90E36" w:rsidP="00E90EC6">
            <w:pPr>
              <w:pStyle w:val="TabletextrowsAgency"/>
              <w:spacing w:line="240" w:lineRule="auto"/>
            </w:pPr>
            <w:r>
              <w:t>510-514</w:t>
            </w:r>
          </w:p>
        </w:tc>
        <w:tc>
          <w:tcPr>
            <w:tcW w:w="822" w:type="pct"/>
            <w:shd w:val="clear" w:color="auto" w:fill="E1E3F2"/>
          </w:tcPr>
          <w:p w14:paraId="1140B0A3" w14:textId="6B7BFC96" w:rsidR="00D90E36" w:rsidRDefault="00D90E36" w:rsidP="00E90EC6">
            <w:pPr>
              <w:pStyle w:val="TabletextrowsAgency"/>
              <w:spacing w:line="240" w:lineRule="auto"/>
            </w:pPr>
          </w:p>
        </w:tc>
        <w:tc>
          <w:tcPr>
            <w:tcW w:w="2009" w:type="pct"/>
            <w:shd w:val="clear" w:color="auto" w:fill="E1E3F2"/>
          </w:tcPr>
          <w:p w14:paraId="79C510FD" w14:textId="77777777" w:rsidR="00D90E36" w:rsidRDefault="00D90E36" w:rsidP="00E90EC6">
            <w:pPr>
              <w:pStyle w:val="TabletextrowsAgency"/>
              <w:spacing w:line="240" w:lineRule="auto"/>
            </w:pPr>
            <w:r>
              <w:t xml:space="preserve">The acknowledgement regarding the limitations of placebo use in paediatric UC patients is appreciated.  However, the suggestion that a NI study against an active comparator are reasonable replacements runs counter to the concept of extrapolation (whereby similar of effect in paediatric subjects needs to be demonstrated in a drug that has already proven efficacy and safety in adults) and are infeasible due to the need for relatively large samples sizes (in an orphan disease) and the potential need for a double-dummy design (in the case of differing routes of administration between study drugs).  </w:t>
            </w:r>
          </w:p>
        </w:tc>
        <w:tc>
          <w:tcPr>
            <w:tcW w:w="1524" w:type="pct"/>
            <w:shd w:val="clear" w:color="auto" w:fill="E1E3F2"/>
          </w:tcPr>
          <w:p w14:paraId="1829A775" w14:textId="77777777" w:rsidR="00D90E36" w:rsidRPr="00927CD3" w:rsidRDefault="00D90E36" w:rsidP="00E90EC6">
            <w:pPr>
              <w:pStyle w:val="TabletextrowsAgency"/>
              <w:rPr>
                <w:b/>
                <w:color w:val="0000FF"/>
              </w:rPr>
            </w:pPr>
          </w:p>
        </w:tc>
      </w:tr>
      <w:tr w:rsidR="00D90E36" w14:paraId="1AEE560F" w14:textId="77777777" w:rsidTr="004A0B3B">
        <w:tc>
          <w:tcPr>
            <w:tcW w:w="645" w:type="pct"/>
            <w:shd w:val="clear" w:color="auto" w:fill="E1E3F2"/>
          </w:tcPr>
          <w:p w14:paraId="472AD79C" w14:textId="77777777" w:rsidR="00D90E36" w:rsidRDefault="00D90E36" w:rsidP="00E90EC6">
            <w:pPr>
              <w:pStyle w:val="TabletextrowsAgency"/>
              <w:spacing w:line="240" w:lineRule="auto"/>
            </w:pPr>
            <w:r>
              <w:t>530-532</w:t>
            </w:r>
          </w:p>
        </w:tc>
        <w:tc>
          <w:tcPr>
            <w:tcW w:w="822" w:type="pct"/>
            <w:shd w:val="clear" w:color="auto" w:fill="E1E3F2"/>
          </w:tcPr>
          <w:p w14:paraId="519E5775" w14:textId="5C97C61E" w:rsidR="00D90E36" w:rsidRDefault="00D90E36" w:rsidP="00E90EC6">
            <w:pPr>
              <w:pStyle w:val="TabletextrowsAgency"/>
              <w:spacing w:line="240" w:lineRule="auto"/>
            </w:pPr>
          </w:p>
        </w:tc>
        <w:tc>
          <w:tcPr>
            <w:tcW w:w="2009" w:type="pct"/>
            <w:shd w:val="clear" w:color="auto" w:fill="E1E3F2"/>
          </w:tcPr>
          <w:p w14:paraId="428E10E6" w14:textId="77777777" w:rsidR="00D90E36" w:rsidRPr="00E3461B" w:rsidRDefault="00D90E36" w:rsidP="00E90EC6">
            <w:pPr>
              <w:pStyle w:val="CommentText"/>
              <w:rPr>
                <w:rFonts w:eastAsia="Times New Roman" w:cs="Verdana"/>
                <w:sz w:val="18"/>
                <w:szCs w:val="18"/>
              </w:rPr>
            </w:pPr>
            <w:r w:rsidRPr="00E3461B">
              <w:rPr>
                <w:rFonts w:eastAsia="Times New Roman" w:cs="Verdana"/>
                <w:b/>
                <w:sz w:val="18"/>
                <w:szCs w:val="18"/>
              </w:rPr>
              <w:t>Comment:</w:t>
            </w:r>
            <w:r w:rsidRPr="00E3461B">
              <w:rPr>
                <w:rFonts w:eastAsia="Times New Roman" w:cs="Verdana"/>
                <w:sz w:val="18"/>
                <w:szCs w:val="18"/>
              </w:rPr>
              <w:t xml:space="preserve"> Please specify “development”. We propose to change the wording to “growth velocity”</w:t>
            </w:r>
          </w:p>
          <w:p w14:paraId="5F2B28E3" w14:textId="77777777" w:rsidR="00D90E36" w:rsidRDefault="00D90E36" w:rsidP="00E90EC6">
            <w:pPr>
              <w:pStyle w:val="TabletextrowsAgency"/>
              <w:spacing w:line="240" w:lineRule="auto"/>
            </w:pPr>
          </w:p>
          <w:p w14:paraId="15CC646F" w14:textId="77777777" w:rsidR="00D90E36" w:rsidRPr="002A6DC3" w:rsidRDefault="00D90E36" w:rsidP="00E90EC6">
            <w:pPr>
              <w:pStyle w:val="TabletextrowsAgency"/>
              <w:spacing w:line="240" w:lineRule="auto"/>
              <w:rPr>
                <w:b/>
              </w:rPr>
            </w:pPr>
            <w:r w:rsidRPr="002A6DC3">
              <w:rPr>
                <w:b/>
              </w:rPr>
              <w:t xml:space="preserve">Proposed change (if any): </w:t>
            </w:r>
          </w:p>
          <w:p w14:paraId="5D35B33D" w14:textId="77777777" w:rsidR="00D90E36" w:rsidRPr="007C6F92" w:rsidRDefault="00D90E36" w:rsidP="00E90EC6">
            <w:pPr>
              <w:pStyle w:val="TabletextrowsAgency"/>
              <w:spacing w:line="240" w:lineRule="auto"/>
            </w:pPr>
            <w:r>
              <w:t xml:space="preserve">“Post-study/post authorisation long-term data, either while patients are on chronic therapy or during the post-therapy period, are necessary to determine possible effects on </w:t>
            </w:r>
            <w:r w:rsidRPr="00E016B1">
              <w:rPr>
                <w:b/>
                <w:strike/>
              </w:rPr>
              <w:t>maturation and development</w:t>
            </w:r>
            <w:r>
              <w:t xml:space="preserve"> </w:t>
            </w:r>
            <w:r w:rsidRPr="00E016B1">
              <w:rPr>
                <w:b/>
              </w:rPr>
              <w:t>growth velocity</w:t>
            </w:r>
            <w:r>
              <w:t>”.</w:t>
            </w:r>
          </w:p>
        </w:tc>
        <w:tc>
          <w:tcPr>
            <w:tcW w:w="1524" w:type="pct"/>
            <w:shd w:val="clear" w:color="auto" w:fill="E1E3F2"/>
          </w:tcPr>
          <w:p w14:paraId="702A1ED9" w14:textId="77777777" w:rsidR="00D90E36" w:rsidRPr="00927CD3" w:rsidRDefault="00D90E36" w:rsidP="00E90EC6">
            <w:pPr>
              <w:pStyle w:val="TabletextrowsAgency"/>
              <w:rPr>
                <w:b/>
                <w:color w:val="0000FF"/>
              </w:rPr>
            </w:pPr>
          </w:p>
        </w:tc>
      </w:tr>
      <w:tr w:rsidR="00D90E36" w14:paraId="429831C6" w14:textId="77777777" w:rsidTr="004A0B3B">
        <w:tc>
          <w:tcPr>
            <w:tcW w:w="645" w:type="pct"/>
            <w:shd w:val="clear" w:color="auto" w:fill="E1E3F2"/>
          </w:tcPr>
          <w:p w14:paraId="44682E3A" w14:textId="77777777" w:rsidR="00D90E36" w:rsidRDefault="00D90E36" w:rsidP="00E90EC6">
            <w:pPr>
              <w:pStyle w:val="TabletextrowsAgency"/>
              <w:spacing w:line="240" w:lineRule="auto"/>
            </w:pPr>
            <w:r>
              <w:t>530-532</w:t>
            </w:r>
          </w:p>
        </w:tc>
        <w:tc>
          <w:tcPr>
            <w:tcW w:w="822" w:type="pct"/>
            <w:shd w:val="clear" w:color="auto" w:fill="E1E3F2"/>
          </w:tcPr>
          <w:p w14:paraId="6BC24A6C" w14:textId="0239E028" w:rsidR="00D90E36" w:rsidRDefault="00D90E36" w:rsidP="00E90EC6">
            <w:pPr>
              <w:pStyle w:val="TabletextrowsAgency"/>
              <w:spacing w:line="240" w:lineRule="auto"/>
            </w:pPr>
          </w:p>
        </w:tc>
        <w:tc>
          <w:tcPr>
            <w:tcW w:w="2009" w:type="pct"/>
            <w:shd w:val="clear" w:color="auto" w:fill="E1E3F2"/>
          </w:tcPr>
          <w:p w14:paraId="17AE0BE5" w14:textId="77777777" w:rsidR="00D90E36" w:rsidRDefault="00D90E36" w:rsidP="00E90EC6">
            <w:pPr>
              <w:pStyle w:val="TabletextrowsAgency"/>
              <w:spacing w:line="240" w:lineRule="auto"/>
            </w:pPr>
            <w:r>
              <w:t>Does this need for long-term safety data in growing children mandate the need for post-approval registries?</w:t>
            </w:r>
          </w:p>
        </w:tc>
        <w:tc>
          <w:tcPr>
            <w:tcW w:w="1524" w:type="pct"/>
            <w:shd w:val="clear" w:color="auto" w:fill="E1E3F2"/>
          </w:tcPr>
          <w:p w14:paraId="0B0B1102" w14:textId="77777777" w:rsidR="00D90E36" w:rsidRPr="00927CD3" w:rsidRDefault="00D90E36" w:rsidP="00E90EC6">
            <w:pPr>
              <w:pStyle w:val="TabletextrowsAgency"/>
              <w:rPr>
                <w:b/>
                <w:color w:val="0000FF"/>
              </w:rPr>
            </w:pPr>
          </w:p>
        </w:tc>
      </w:tr>
      <w:tr w:rsidR="00D90E36" w14:paraId="7328CF4F" w14:textId="77777777" w:rsidTr="004A0B3B">
        <w:tc>
          <w:tcPr>
            <w:tcW w:w="645" w:type="pct"/>
            <w:shd w:val="clear" w:color="auto" w:fill="E1E3F2"/>
          </w:tcPr>
          <w:p w14:paraId="63BA4DAC" w14:textId="77777777" w:rsidR="00D90E36" w:rsidRDefault="00D90E36" w:rsidP="00E90EC6">
            <w:pPr>
              <w:pStyle w:val="TabletextrowsAgency"/>
              <w:spacing w:line="240" w:lineRule="auto"/>
            </w:pPr>
            <w:r>
              <w:t>543</w:t>
            </w:r>
          </w:p>
        </w:tc>
        <w:tc>
          <w:tcPr>
            <w:tcW w:w="822" w:type="pct"/>
            <w:shd w:val="clear" w:color="auto" w:fill="E1E3F2"/>
          </w:tcPr>
          <w:p w14:paraId="7D42AA07" w14:textId="52DAD3F7" w:rsidR="00D90E36" w:rsidRDefault="00D90E36" w:rsidP="00E90EC6">
            <w:pPr>
              <w:pStyle w:val="TabletextrowsAgency"/>
              <w:spacing w:line="240" w:lineRule="auto"/>
            </w:pPr>
          </w:p>
        </w:tc>
        <w:tc>
          <w:tcPr>
            <w:tcW w:w="2009" w:type="pct"/>
            <w:shd w:val="clear" w:color="auto" w:fill="E1E3F2"/>
          </w:tcPr>
          <w:p w14:paraId="0181D9FD" w14:textId="77777777" w:rsidR="00D90E36" w:rsidRDefault="00D90E36" w:rsidP="00E90EC6">
            <w:pPr>
              <w:pStyle w:val="TabletextrowsAgency"/>
              <w:spacing w:line="240" w:lineRule="auto"/>
            </w:pPr>
            <w:r>
              <w:t>If registries are established and are disease (and not drug) based, does each company with a new drug have to establish such a disease-based registry or can they collaborate and form a single disease-based registry with patients on multiple drug regimens?</w:t>
            </w:r>
          </w:p>
        </w:tc>
        <w:tc>
          <w:tcPr>
            <w:tcW w:w="1524" w:type="pct"/>
            <w:shd w:val="clear" w:color="auto" w:fill="E1E3F2"/>
          </w:tcPr>
          <w:p w14:paraId="6D9473BB" w14:textId="77777777" w:rsidR="00D90E36" w:rsidRPr="00927CD3" w:rsidRDefault="00D90E36" w:rsidP="00E90EC6">
            <w:pPr>
              <w:pStyle w:val="TabletextrowsAgency"/>
              <w:rPr>
                <w:b/>
                <w:color w:val="0000FF"/>
              </w:rPr>
            </w:pPr>
          </w:p>
        </w:tc>
      </w:tr>
    </w:tbl>
    <w:p w14:paraId="7FA5F12C" w14:textId="77777777" w:rsidR="00BD733E" w:rsidRPr="00BD733E" w:rsidRDefault="00BD733E" w:rsidP="00BD733E">
      <w:pPr>
        <w:pStyle w:val="BodytextAgency"/>
      </w:pPr>
    </w:p>
    <w:sectPr w:rsidR="00BD733E" w:rsidRPr="00BD733E" w:rsidSect="009A19B9">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5AC4F" w14:textId="77777777" w:rsidR="00B51342" w:rsidRDefault="00B51342">
      <w:r>
        <w:separator/>
      </w:r>
    </w:p>
  </w:endnote>
  <w:endnote w:type="continuationSeparator" w:id="0">
    <w:p w14:paraId="036360CC" w14:textId="77777777" w:rsidR="00B51342" w:rsidRDefault="00B51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Calibri">
    <w:altName w:val="Times New Roman"/>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221F58" w14:textId="77777777" w:rsidR="00B51342" w:rsidRDefault="00B51342">
      <w:r>
        <w:separator/>
      </w:r>
    </w:p>
  </w:footnote>
  <w:footnote w:type="continuationSeparator" w:id="0">
    <w:p w14:paraId="3776CBF6" w14:textId="77777777" w:rsidR="00B51342" w:rsidRDefault="00B513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6504F" w14:textId="77777777" w:rsidR="00BD733E" w:rsidRDefault="00BD733E">
    <w:pPr>
      <w:pStyle w:val="FooterAgency"/>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C628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DA05B3D"/>
    <w:multiLevelType w:val="hybridMultilevel"/>
    <w:tmpl w:val="0EF4E6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7D04907"/>
    <w:multiLevelType w:val="hybridMultilevel"/>
    <w:tmpl w:val="52866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20">
    <w:nsid w:val="5D195EC3"/>
    <w:multiLevelType w:val="hybridMultilevel"/>
    <w:tmpl w:val="52866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7A057544"/>
    <w:multiLevelType w:val="hybridMultilevel"/>
    <w:tmpl w:val="1486A0D4"/>
    <w:lvl w:ilvl="0" w:tplc="70B43184">
      <w:numFmt w:val="bullet"/>
      <w:lvlText w:val="-"/>
      <w:lvlJc w:val="left"/>
      <w:pPr>
        <w:ind w:left="720" w:hanging="360"/>
      </w:pPr>
      <w:rPr>
        <w:rFonts w:ascii="Calibri-Bold" w:eastAsia="SimSun" w:hAnsi="Calibri-Bold" w:cs="Calibri-Bold"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num>
  <w:num w:numId="2">
    <w:abstractNumId w:val="13"/>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5"/>
  </w:num>
  <w:num w:numId="13">
    <w:abstractNumId w:val="12"/>
  </w:num>
  <w:num w:numId="14">
    <w:abstractNumId w:val="21"/>
  </w:num>
  <w:num w:numId="15">
    <w:abstractNumId w:val="14"/>
  </w:num>
  <w:num w:numId="16">
    <w:abstractNumId w:val="17"/>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5"/>
  </w:num>
  <w:num w:numId="39">
    <w:abstractNumId w:val="12"/>
  </w:num>
  <w:num w:numId="40">
    <w:abstractNumId w:val="0"/>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064A1"/>
    <w:rsid w:val="00015BD1"/>
    <w:rsid w:val="000560D9"/>
    <w:rsid w:val="00061286"/>
    <w:rsid w:val="0006274F"/>
    <w:rsid w:val="00063A68"/>
    <w:rsid w:val="00070904"/>
    <w:rsid w:val="00070FEF"/>
    <w:rsid w:val="000852F2"/>
    <w:rsid w:val="00096D3B"/>
    <w:rsid w:val="000C078B"/>
    <w:rsid w:val="000C0798"/>
    <w:rsid w:val="000C29C2"/>
    <w:rsid w:val="000D172B"/>
    <w:rsid w:val="000E57ED"/>
    <w:rsid w:val="000E7818"/>
    <w:rsid w:val="000F061F"/>
    <w:rsid w:val="00105379"/>
    <w:rsid w:val="00134934"/>
    <w:rsid w:val="00165C64"/>
    <w:rsid w:val="00176D9F"/>
    <w:rsid w:val="00176E8C"/>
    <w:rsid w:val="001905C3"/>
    <w:rsid w:val="001B2A89"/>
    <w:rsid w:val="001B564C"/>
    <w:rsid w:val="001C2C42"/>
    <w:rsid w:val="001C634B"/>
    <w:rsid w:val="001E6C7E"/>
    <w:rsid w:val="001F3855"/>
    <w:rsid w:val="001F7D5E"/>
    <w:rsid w:val="00201093"/>
    <w:rsid w:val="002018D3"/>
    <w:rsid w:val="002027F4"/>
    <w:rsid w:val="0020434E"/>
    <w:rsid w:val="00212AB1"/>
    <w:rsid w:val="002221E7"/>
    <w:rsid w:val="0022651D"/>
    <w:rsid w:val="00233AB9"/>
    <w:rsid w:val="00236AD4"/>
    <w:rsid w:val="00297A4B"/>
    <w:rsid w:val="002D7B1B"/>
    <w:rsid w:val="002E0488"/>
    <w:rsid w:val="00304E6B"/>
    <w:rsid w:val="00310DA1"/>
    <w:rsid w:val="00314066"/>
    <w:rsid w:val="00322574"/>
    <w:rsid w:val="00324BD6"/>
    <w:rsid w:val="0033776F"/>
    <w:rsid w:val="003401B6"/>
    <w:rsid w:val="00343337"/>
    <w:rsid w:val="00351D92"/>
    <w:rsid w:val="00354B43"/>
    <w:rsid w:val="0035675C"/>
    <w:rsid w:val="00356F97"/>
    <w:rsid w:val="003713B9"/>
    <w:rsid w:val="003762C1"/>
    <w:rsid w:val="003806DC"/>
    <w:rsid w:val="00392931"/>
    <w:rsid w:val="00393BCE"/>
    <w:rsid w:val="003A06EA"/>
    <w:rsid w:val="003B52D4"/>
    <w:rsid w:val="003C145C"/>
    <w:rsid w:val="003C540C"/>
    <w:rsid w:val="003C5EC3"/>
    <w:rsid w:val="003D36BB"/>
    <w:rsid w:val="003D469D"/>
    <w:rsid w:val="003F4A0C"/>
    <w:rsid w:val="003F75D2"/>
    <w:rsid w:val="00414B29"/>
    <w:rsid w:val="004173AE"/>
    <w:rsid w:val="00420408"/>
    <w:rsid w:val="00445D4D"/>
    <w:rsid w:val="0044604D"/>
    <w:rsid w:val="0045621C"/>
    <w:rsid w:val="00456A93"/>
    <w:rsid w:val="0047514E"/>
    <w:rsid w:val="00475373"/>
    <w:rsid w:val="00493566"/>
    <w:rsid w:val="004A0B3B"/>
    <w:rsid w:val="004A383E"/>
    <w:rsid w:val="004A4885"/>
    <w:rsid w:val="004C26BE"/>
    <w:rsid w:val="004E7520"/>
    <w:rsid w:val="004E7D89"/>
    <w:rsid w:val="004F1038"/>
    <w:rsid w:val="004F6A79"/>
    <w:rsid w:val="004F7E2C"/>
    <w:rsid w:val="00507420"/>
    <w:rsid w:val="00507EB2"/>
    <w:rsid w:val="00511CFC"/>
    <w:rsid w:val="0051429E"/>
    <w:rsid w:val="005147E1"/>
    <w:rsid w:val="00526F68"/>
    <w:rsid w:val="00542670"/>
    <w:rsid w:val="00543373"/>
    <w:rsid w:val="0055589D"/>
    <w:rsid w:val="00556076"/>
    <w:rsid w:val="00566ECD"/>
    <w:rsid w:val="00577FA1"/>
    <w:rsid w:val="0058320F"/>
    <w:rsid w:val="00587145"/>
    <w:rsid w:val="005877D4"/>
    <w:rsid w:val="005A0EBC"/>
    <w:rsid w:val="005B7B49"/>
    <w:rsid w:val="005C40FE"/>
    <w:rsid w:val="005D47EC"/>
    <w:rsid w:val="005D6621"/>
    <w:rsid w:val="00607E82"/>
    <w:rsid w:val="00611716"/>
    <w:rsid w:val="00616868"/>
    <w:rsid w:val="00627B74"/>
    <w:rsid w:val="00642B5C"/>
    <w:rsid w:val="00653812"/>
    <w:rsid w:val="00672D60"/>
    <w:rsid w:val="0068392C"/>
    <w:rsid w:val="00697D30"/>
    <w:rsid w:val="006A6DBD"/>
    <w:rsid w:val="006A6EA0"/>
    <w:rsid w:val="006C1452"/>
    <w:rsid w:val="006C536A"/>
    <w:rsid w:val="006D5958"/>
    <w:rsid w:val="006D7FB2"/>
    <w:rsid w:val="006F001A"/>
    <w:rsid w:val="006F1705"/>
    <w:rsid w:val="006F357D"/>
    <w:rsid w:val="00714996"/>
    <w:rsid w:val="00720E10"/>
    <w:rsid w:val="007311D3"/>
    <w:rsid w:val="00731841"/>
    <w:rsid w:val="00740D70"/>
    <w:rsid w:val="0074509F"/>
    <w:rsid w:val="0074681F"/>
    <w:rsid w:val="0075626E"/>
    <w:rsid w:val="0075700E"/>
    <w:rsid w:val="0076509A"/>
    <w:rsid w:val="00772CA4"/>
    <w:rsid w:val="00780A6E"/>
    <w:rsid w:val="00782437"/>
    <w:rsid w:val="00782CE5"/>
    <w:rsid w:val="00784647"/>
    <w:rsid w:val="0078658C"/>
    <w:rsid w:val="00786742"/>
    <w:rsid w:val="007A086A"/>
    <w:rsid w:val="007B1656"/>
    <w:rsid w:val="007B2C84"/>
    <w:rsid w:val="007C0578"/>
    <w:rsid w:val="007C0FED"/>
    <w:rsid w:val="007E7F05"/>
    <w:rsid w:val="008063AE"/>
    <w:rsid w:val="0082383B"/>
    <w:rsid w:val="00825CAE"/>
    <w:rsid w:val="00845277"/>
    <w:rsid w:val="00851128"/>
    <w:rsid w:val="00851A9B"/>
    <w:rsid w:val="00853400"/>
    <w:rsid w:val="00853578"/>
    <w:rsid w:val="00867830"/>
    <w:rsid w:val="00881A20"/>
    <w:rsid w:val="00887A1D"/>
    <w:rsid w:val="00893081"/>
    <w:rsid w:val="00897B38"/>
    <w:rsid w:val="008B453A"/>
    <w:rsid w:val="008C791A"/>
    <w:rsid w:val="008D487F"/>
    <w:rsid w:val="008D5B58"/>
    <w:rsid w:val="008E4B28"/>
    <w:rsid w:val="008F0457"/>
    <w:rsid w:val="008F7B6C"/>
    <w:rsid w:val="0091108B"/>
    <w:rsid w:val="00912F93"/>
    <w:rsid w:val="00913FB3"/>
    <w:rsid w:val="009215B4"/>
    <w:rsid w:val="00927CD3"/>
    <w:rsid w:val="0093383E"/>
    <w:rsid w:val="00944285"/>
    <w:rsid w:val="0096055E"/>
    <w:rsid w:val="00966ECE"/>
    <w:rsid w:val="00974F16"/>
    <w:rsid w:val="00976B68"/>
    <w:rsid w:val="00990B53"/>
    <w:rsid w:val="00996A75"/>
    <w:rsid w:val="009A19B9"/>
    <w:rsid w:val="009A5F10"/>
    <w:rsid w:val="009A60BB"/>
    <w:rsid w:val="009B1042"/>
    <w:rsid w:val="009B1BC2"/>
    <w:rsid w:val="009B57B3"/>
    <w:rsid w:val="009C61AF"/>
    <w:rsid w:val="009D3228"/>
    <w:rsid w:val="009E1F41"/>
    <w:rsid w:val="009F3F24"/>
    <w:rsid w:val="009F6E20"/>
    <w:rsid w:val="00A01924"/>
    <w:rsid w:val="00A0528B"/>
    <w:rsid w:val="00A20706"/>
    <w:rsid w:val="00A21E17"/>
    <w:rsid w:val="00A25180"/>
    <w:rsid w:val="00A30411"/>
    <w:rsid w:val="00A35AD4"/>
    <w:rsid w:val="00A41DE7"/>
    <w:rsid w:val="00A453FF"/>
    <w:rsid w:val="00A4724A"/>
    <w:rsid w:val="00A530C4"/>
    <w:rsid w:val="00A70481"/>
    <w:rsid w:val="00A9798F"/>
    <w:rsid w:val="00AA60AF"/>
    <w:rsid w:val="00AB06F0"/>
    <w:rsid w:val="00AC7E54"/>
    <w:rsid w:val="00AE0A58"/>
    <w:rsid w:val="00AF7FF1"/>
    <w:rsid w:val="00B02408"/>
    <w:rsid w:val="00B14180"/>
    <w:rsid w:val="00B22CCA"/>
    <w:rsid w:val="00B33143"/>
    <w:rsid w:val="00B425EF"/>
    <w:rsid w:val="00B43134"/>
    <w:rsid w:val="00B476F1"/>
    <w:rsid w:val="00B51342"/>
    <w:rsid w:val="00B529E3"/>
    <w:rsid w:val="00B53433"/>
    <w:rsid w:val="00B56F10"/>
    <w:rsid w:val="00B709F3"/>
    <w:rsid w:val="00B73CE4"/>
    <w:rsid w:val="00B75C9C"/>
    <w:rsid w:val="00B76B13"/>
    <w:rsid w:val="00B8129F"/>
    <w:rsid w:val="00B847D1"/>
    <w:rsid w:val="00BA3014"/>
    <w:rsid w:val="00BB356B"/>
    <w:rsid w:val="00BD434B"/>
    <w:rsid w:val="00BD733E"/>
    <w:rsid w:val="00BE7519"/>
    <w:rsid w:val="00BF23BE"/>
    <w:rsid w:val="00BF2B49"/>
    <w:rsid w:val="00BF6AF1"/>
    <w:rsid w:val="00C21FFE"/>
    <w:rsid w:val="00C24DCF"/>
    <w:rsid w:val="00C32EF9"/>
    <w:rsid w:val="00C4085F"/>
    <w:rsid w:val="00C4110A"/>
    <w:rsid w:val="00C42A0F"/>
    <w:rsid w:val="00C50FCD"/>
    <w:rsid w:val="00C52E4D"/>
    <w:rsid w:val="00C5429E"/>
    <w:rsid w:val="00C66085"/>
    <w:rsid w:val="00C8686B"/>
    <w:rsid w:val="00CB3097"/>
    <w:rsid w:val="00CB6259"/>
    <w:rsid w:val="00CB66CC"/>
    <w:rsid w:val="00CC09B6"/>
    <w:rsid w:val="00CC2FB8"/>
    <w:rsid w:val="00CC5CDD"/>
    <w:rsid w:val="00CD21C0"/>
    <w:rsid w:val="00CE2851"/>
    <w:rsid w:val="00CE7221"/>
    <w:rsid w:val="00D02D5F"/>
    <w:rsid w:val="00D20D70"/>
    <w:rsid w:val="00D237F3"/>
    <w:rsid w:val="00D24B53"/>
    <w:rsid w:val="00D26F91"/>
    <w:rsid w:val="00D52DCD"/>
    <w:rsid w:val="00D66E15"/>
    <w:rsid w:val="00D722C2"/>
    <w:rsid w:val="00D87123"/>
    <w:rsid w:val="00D90E36"/>
    <w:rsid w:val="00DA7F7A"/>
    <w:rsid w:val="00DB0E69"/>
    <w:rsid w:val="00DC73AD"/>
    <w:rsid w:val="00DE5A34"/>
    <w:rsid w:val="00DF5092"/>
    <w:rsid w:val="00DF614F"/>
    <w:rsid w:val="00E02E7A"/>
    <w:rsid w:val="00E31BD7"/>
    <w:rsid w:val="00E3461B"/>
    <w:rsid w:val="00E7285A"/>
    <w:rsid w:val="00E7606D"/>
    <w:rsid w:val="00EB6901"/>
    <w:rsid w:val="00EC6F28"/>
    <w:rsid w:val="00ED76B6"/>
    <w:rsid w:val="00EE2C8A"/>
    <w:rsid w:val="00EE312E"/>
    <w:rsid w:val="00EE60D6"/>
    <w:rsid w:val="00F04904"/>
    <w:rsid w:val="00F04D02"/>
    <w:rsid w:val="00F13D40"/>
    <w:rsid w:val="00F215B5"/>
    <w:rsid w:val="00F233AE"/>
    <w:rsid w:val="00F34555"/>
    <w:rsid w:val="00F5143F"/>
    <w:rsid w:val="00F66BC6"/>
    <w:rsid w:val="00F73253"/>
    <w:rsid w:val="00F901AB"/>
    <w:rsid w:val="00FA2B4F"/>
    <w:rsid w:val="00FB059F"/>
    <w:rsid w:val="00FB4249"/>
    <w:rsid w:val="00FC2673"/>
    <w:rsid w:val="00FE4B7E"/>
    <w:rsid w:val="00FE4F74"/>
    <w:rsid w:val="00FF0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0F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B9"/>
    <w:rPr>
      <w:rFonts w:ascii="Verdana" w:hAnsi="Verdana" w:cs="Verdana"/>
      <w:sz w:val="18"/>
      <w:szCs w:val="18"/>
      <w:lang w:val="en-GB" w:eastAsia="zh-CN"/>
    </w:rPr>
  </w:style>
  <w:style w:type="paragraph" w:styleId="Heading1">
    <w:name w:val="heading 1"/>
    <w:basedOn w:val="No-numheading1Agency"/>
    <w:next w:val="BodytextAgency"/>
    <w:qFormat/>
    <w:rsid w:val="009A19B9"/>
    <w:rPr>
      <w:noProof/>
    </w:rPr>
  </w:style>
  <w:style w:type="paragraph" w:styleId="Heading2">
    <w:name w:val="heading 2"/>
    <w:basedOn w:val="No-numheading2Agency"/>
    <w:next w:val="BodytextAgency"/>
    <w:qFormat/>
    <w:rsid w:val="009A19B9"/>
  </w:style>
  <w:style w:type="paragraph" w:styleId="Heading3">
    <w:name w:val="heading 3"/>
    <w:basedOn w:val="No-numheading3Agency"/>
    <w:next w:val="BodytextAgency"/>
    <w:qFormat/>
    <w:rsid w:val="009A19B9"/>
  </w:style>
  <w:style w:type="paragraph" w:styleId="Heading4">
    <w:name w:val="heading 4"/>
    <w:basedOn w:val="No-numheading4Agency"/>
    <w:next w:val="BodytextAgency"/>
    <w:qFormat/>
    <w:rsid w:val="009A19B9"/>
  </w:style>
  <w:style w:type="paragraph" w:styleId="Heading5">
    <w:name w:val="heading 5"/>
    <w:basedOn w:val="Normal"/>
    <w:next w:val="Normal"/>
    <w:qFormat/>
    <w:rsid w:val="009A19B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9A19B9"/>
  </w:style>
  <w:style w:type="paragraph" w:styleId="Heading7">
    <w:name w:val="heading 7"/>
    <w:basedOn w:val="No-numheading7Agency"/>
    <w:next w:val="BodytextAgency"/>
    <w:qFormat/>
    <w:rsid w:val="009A19B9"/>
  </w:style>
  <w:style w:type="paragraph" w:styleId="Heading8">
    <w:name w:val="heading 8"/>
    <w:basedOn w:val="No-numheading8Agency"/>
    <w:next w:val="BodytextAgency"/>
    <w:qFormat/>
    <w:rsid w:val="009A19B9"/>
  </w:style>
  <w:style w:type="paragraph" w:styleId="Heading9">
    <w:name w:val="heading 9"/>
    <w:basedOn w:val="No-numheading9Agency"/>
    <w:next w:val="BodytextAgency"/>
    <w:qFormat/>
    <w:rsid w:val="009A1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9A19B9"/>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9A19B9"/>
    <w:pPr>
      <w:spacing w:after="140" w:line="280" w:lineRule="atLeast"/>
    </w:pPr>
    <w:rPr>
      <w:rFonts w:eastAsia="Verdana"/>
      <w:lang w:eastAsia="en-GB"/>
    </w:rPr>
  </w:style>
  <w:style w:type="paragraph" w:customStyle="1" w:styleId="No-numheading2Agency">
    <w:name w:val="No-num heading 2 (Agency)"/>
    <w:basedOn w:val="Normal"/>
    <w:next w:val="BodytextAgency"/>
    <w:rsid w:val="009A19B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9A19B9"/>
    <w:pPr>
      <w:numPr>
        <w:ilvl w:val="0"/>
        <w:numId w:val="0"/>
      </w:numPr>
    </w:pPr>
  </w:style>
  <w:style w:type="paragraph" w:customStyle="1" w:styleId="Heading3Agency">
    <w:name w:val="Heading 3 (Agency)"/>
    <w:basedOn w:val="Normal"/>
    <w:next w:val="BodytextAgency"/>
    <w:rsid w:val="009A19B9"/>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9A19B9"/>
    <w:pPr>
      <w:numPr>
        <w:ilvl w:val="0"/>
        <w:numId w:val="0"/>
      </w:numPr>
    </w:pPr>
  </w:style>
  <w:style w:type="paragraph" w:customStyle="1" w:styleId="Heading4Agency">
    <w:name w:val="Heading 4 (Agency)"/>
    <w:basedOn w:val="Heading3Agency"/>
    <w:next w:val="BodytextAgency"/>
    <w:semiHidden/>
    <w:rsid w:val="009A19B9"/>
    <w:pPr>
      <w:numPr>
        <w:ilvl w:val="3"/>
      </w:numPr>
      <w:outlineLvl w:val="3"/>
    </w:pPr>
    <w:rPr>
      <w:i/>
      <w:sz w:val="18"/>
      <w:szCs w:val="18"/>
    </w:rPr>
  </w:style>
  <w:style w:type="paragraph" w:customStyle="1" w:styleId="No-numheading6Agency">
    <w:name w:val="No-num heading 6 (Agency)"/>
    <w:basedOn w:val="No-numheading5Agency"/>
    <w:next w:val="BodytextAgency"/>
    <w:semiHidden/>
    <w:rsid w:val="009A19B9"/>
    <w:pPr>
      <w:outlineLvl w:val="5"/>
    </w:pPr>
  </w:style>
  <w:style w:type="paragraph" w:customStyle="1" w:styleId="No-numheading5Agency">
    <w:name w:val="No-num heading 5 (Agency)"/>
    <w:basedOn w:val="Heading5Agency"/>
    <w:next w:val="BodytextAgency"/>
    <w:semiHidden/>
    <w:rsid w:val="009A19B9"/>
    <w:pPr>
      <w:numPr>
        <w:ilvl w:val="0"/>
        <w:numId w:val="0"/>
      </w:numPr>
    </w:pPr>
  </w:style>
  <w:style w:type="paragraph" w:customStyle="1" w:styleId="Heading5Agency">
    <w:name w:val="Heading 5 (Agency)"/>
    <w:basedOn w:val="Heading4Agency"/>
    <w:next w:val="BodytextAgency"/>
    <w:semiHidden/>
    <w:rsid w:val="009A19B9"/>
    <w:pPr>
      <w:numPr>
        <w:ilvl w:val="4"/>
      </w:numPr>
      <w:outlineLvl w:val="4"/>
    </w:pPr>
    <w:rPr>
      <w:i w:val="0"/>
    </w:rPr>
  </w:style>
  <w:style w:type="paragraph" w:customStyle="1" w:styleId="No-numheading7Agency">
    <w:name w:val="No-num heading 7 (Agency)"/>
    <w:basedOn w:val="No-numheading6Agency"/>
    <w:next w:val="BodytextAgency"/>
    <w:semiHidden/>
    <w:rsid w:val="009A19B9"/>
    <w:pPr>
      <w:outlineLvl w:val="6"/>
    </w:pPr>
  </w:style>
  <w:style w:type="paragraph" w:customStyle="1" w:styleId="No-numheading8Agency">
    <w:name w:val="No-num heading 8 (Agency)"/>
    <w:basedOn w:val="No-numheading7Agency"/>
    <w:next w:val="BodytextAgency"/>
    <w:semiHidden/>
    <w:rsid w:val="009A19B9"/>
    <w:pPr>
      <w:outlineLvl w:val="7"/>
    </w:pPr>
  </w:style>
  <w:style w:type="paragraph" w:customStyle="1" w:styleId="No-numheading9Agency">
    <w:name w:val="No-num heading 9 (Agency)"/>
    <w:basedOn w:val="No-numheading8Agency"/>
    <w:next w:val="BodytextAgency"/>
    <w:semiHidden/>
    <w:rsid w:val="009A19B9"/>
    <w:pPr>
      <w:outlineLvl w:val="8"/>
    </w:pPr>
  </w:style>
  <w:style w:type="paragraph" w:styleId="Footer">
    <w:name w:val="footer"/>
    <w:basedOn w:val="Normal"/>
    <w:semiHidden/>
    <w:rsid w:val="009A19B9"/>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9A19B9"/>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9A19B9"/>
  </w:style>
  <w:style w:type="paragraph" w:customStyle="1" w:styleId="FooterAgency">
    <w:name w:val="Footer (Agency)"/>
    <w:basedOn w:val="Normal"/>
    <w:semiHidden/>
    <w:rsid w:val="009A19B9"/>
    <w:rPr>
      <w:rFonts w:eastAsia="Verdana"/>
      <w:color w:val="6D6F71"/>
      <w:sz w:val="14"/>
      <w:szCs w:val="14"/>
      <w:lang w:eastAsia="en-GB"/>
    </w:rPr>
  </w:style>
  <w:style w:type="paragraph" w:customStyle="1" w:styleId="FooterblueAgency">
    <w:name w:val="Footer blue (Agency)"/>
    <w:basedOn w:val="Normal"/>
    <w:semiHidden/>
    <w:rsid w:val="009A19B9"/>
    <w:rPr>
      <w:rFonts w:eastAsia="Verdana"/>
      <w:b/>
      <w:color w:val="003399"/>
      <w:sz w:val="13"/>
      <w:szCs w:val="14"/>
      <w:lang w:eastAsia="en-GB"/>
    </w:rPr>
  </w:style>
  <w:style w:type="character" w:customStyle="1" w:styleId="FooterAgencyCharChar">
    <w:name w:val="Footer (Agency) Char Char"/>
    <w:semiHidden/>
    <w:rsid w:val="009A19B9"/>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9A19B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9A19B9"/>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9A19B9"/>
    <w:rPr>
      <w:rFonts w:ascii="Verdana" w:eastAsia="Verdana" w:hAnsi="Verdana" w:cs="Verdana"/>
      <w:b/>
      <w:color w:val="003399"/>
      <w:sz w:val="13"/>
      <w:szCs w:val="14"/>
      <w:lang w:val="en-GB" w:eastAsia="en-GB" w:bidi="ar-SA"/>
    </w:rPr>
  </w:style>
  <w:style w:type="paragraph" w:styleId="BodyText">
    <w:name w:val="Body Text"/>
    <w:basedOn w:val="Normal"/>
    <w:semiHidden/>
    <w:rsid w:val="009A19B9"/>
    <w:pPr>
      <w:spacing w:after="140" w:line="280" w:lineRule="atLeast"/>
    </w:pPr>
  </w:style>
  <w:style w:type="paragraph" w:customStyle="1" w:styleId="DisclaimerAgency">
    <w:name w:val="Disclaimer (Agency)"/>
    <w:basedOn w:val="Normal"/>
    <w:semiHidden/>
    <w:rsid w:val="009A19B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9A19B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9A19B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9A19B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9A19B9"/>
    <w:rPr>
      <w:rFonts w:ascii="Verdana" w:hAnsi="Verdana"/>
      <w:vertAlign w:val="superscript"/>
    </w:rPr>
  </w:style>
  <w:style w:type="character" w:customStyle="1" w:styleId="EndnotereferenceAgency">
    <w:name w:val="Endnote reference (Agency)"/>
    <w:semiHidden/>
    <w:rsid w:val="009A19B9"/>
    <w:rPr>
      <w:rFonts w:ascii="Verdana" w:hAnsi="Verdana"/>
      <w:vertAlign w:val="superscript"/>
    </w:rPr>
  </w:style>
  <w:style w:type="paragraph" w:styleId="EndnoteText">
    <w:name w:val="endnote text"/>
    <w:basedOn w:val="Normal"/>
    <w:semiHidden/>
    <w:rsid w:val="009A19B9"/>
    <w:rPr>
      <w:rFonts w:eastAsia="Verdana"/>
      <w:sz w:val="15"/>
      <w:szCs w:val="15"/>
      <w:lang w:eastAsia="en-GB"/>
    </w:rPr>
  </w:style>
  <w:style w:type="paragraph" w:customStyle="1" w:styleId="EndnotetextAgency">
    <w:name w:val="Endnote text (Agency)"/>
    <w:basedOn w:val="Normal"/>
    <w:semiHidden/>
    <w:rsid w:val="009A19B9"/>
    <w:rPr>
      <w:rFonts w:eastAsia="Verdana"/>
      <w:sz w:val="15"/>
      <w:lang w:eastAsia="en-GB"/>
    </w:rPr>
  </w:style>
  <w:style w:type="paragraph" w:customStyle="1" w:styleId="FigureAgency">
    <w:name w:val="Figure (Agency)"/>
    <w:basedOn w:val="Normal"/>
    <w:next w:val="BodytextAgency"/>
    <w:semiHidden/>
    <w:rsid w:val="009A19B9"/>
    <w:pPr>
      <w:jc w:val="center"/>
    </w:pPr>
  </w:style>
  <w:style w:type="paragraph" w:customStyle="1" w:styleId="FigureheadingAgency">
    <w:name w:val="Figure heading (Agency)"/>
    <w:basedOn w:val="Normal"/>
    <w:next w:val="FigureAgency"/>
    <w:semiHidden/>
    <w:rsid w:val="009A19B9"/>
    <w:pPr>
      <w:keepNext/>
      <w:numPr>
        <w:numId w:val="28"/>
      </w:numPr>
      <w:spacing w:before="240" w:after="120"/>
    </w:pPr>
  </w:style>
  <w:style w:type="character" w:styleId="FootnoteReference">
    <w:name w:val="footnote reference"/>
    <w:semiHidden/>
    <w:rsid w:val="009A19B9"/>
    <w:rPr>
      <w:rFonts w:ascii="Verdana" w:hAnsi="Verdana"/>
      <w:vertAlign w:val="superscript"/>
    </w:rPr>
  </w:style>
  <w:style w:type="character" w:customStyle="1" w:styleId="FootnotereferenceAgency">
    <w:name w:val="Footnote reference (Agency)"/>
    <w:semiHidden/>
    <w:rsid w:val="009A19B9"/>
    <w:rPr>
      <w:rFonts w:ascii="Verdana" w:hAnsi="Verdana"/>
      <w:color w:val="auto"/>
      <w:vertAlign w:val="superscript"/>
    </w:rPr>
  </w:style>
  <w:style w:type="paragraph" w:styleId="FootnoteText">
    <w:name w:val="footnote text"/>
    <w:basedOn w:val="Normal"/>
    <w:semiHidden/>
    <w:rsid w:val="009A19B9"/>
    <w:rPr>
      <w:rFonts w:eastAsia="Verdana"/>
      <w:sz w:val="15"/>
      <w:szCs w:val="20"/>
      <w:lang w:eastAsia="en-GB"/>
    </w:rPr>
  </w:style>
  <w:style w:type="paragraph" w:customStyle="1" w:styleId="FootnotetextAgency">
    <w:name w:val="Footnote text (Agency)"/>
    <w:basedOn w:val="Normal"/>
    <w:semiHidden/>
    <w:rsid w:val="009A19B9"/>
    <w:rPr>
      <w:rFonts w:eastAsia="Verdana"/>
      <w:sz w:val="15"/>
      <w:lang w:eastAsia="en-GB"/>
    </w:rPr>
  </w:style>
  <w:style w:type="paragraph" w:customStyle="1" w:styleId="HeaderAgency">
    <w:name w:val="Header (Agency)"/>
    <w:basedOn w:val="Normal"/>
    <w:semiHidden/>
    <w:rsid w:val="009A19B9"/>
    <w:rPr>
      <w:rFonts w:eastAsia="Verdana"/>
      <w:lang w:eastAsia="en-GB"/>
    </w:rPr>
  </w:style>
  <w:style w:type="paragraph" w:customStyle="1" w:styleId="Heading1Agency">
    <w:name w:val="Heading 1 (Agency)"/>
    <w:basedOn w:val="Normal"/>
    <w:next w:val="BodytextAgency"/>
    <w:rsid w:val="009A19B9"/>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9A19B9"/>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9A19B9"/>
    <w:pPr>
      <w:numPr>
        <w:ilvl w:val="5"/>
      </w:numPr>
      <w:outlineLvl w:val="5"/>
    </w:pPr>
  </w:style>
  <w:style w:type="paragraph" w:customStyle="1" w:styleId="Heading7Agency">
    <w:name w:val="Heading 7 (Agency)"/>
    <w:basedOn w:val="Heading6Agency"/>
    <w:next w:val="BodytextAgency"/>
    <w:semiHidden/>
    <w:rsid w:val="009A19B9"/>
    <w:pPr>
      <w:numPr>
        <w:ilvl w:val="6"/>
      </w:numPr>
      <w:outlineLvl w:val="6"/>
    </w:pPr>
  </w:style>
  <w:style w:type="paragraph" w:customStyle="1" w:styleId="Heading8Agency">
    <w:name w:val="Heading 8 (Agency)"/>
    <w:basedOn w:val="Heading7Agency"/>
    <w:next w:val="BodytextAgency"/>
    <w:semiHidden/>
    <w:rsid w:val="009A19B9"/>
    <w:pPr>
      <w:numPr>
        <w:ilvl w:val="7"/>
      </w:numPr>
      <w:outlineLvl w:val="7"/>
    </w:pPr>
  </w:style>
  <w:style w:type="paragraph" w:customStyle="1" w:styleId="Heading9Agency">
    <w:name w:val="Heading 9 (Agency)"/>
    <w:basedOn w:val="Heading8Agency"/>
    <w:next w:val="BodytextAgency"/>
    <w:semiHidden/>
    <w:rsid w:val="009A19B9"/>
    <w:pPr>
      <w:numPr>
        <w:ilvl w:val="8"/>
      </w:numPr>
      <w:outlineLvl w:val="8"/>
    </w:pPr>
  </w:style>
  <w:style w:type="paragraph" w:customStyle="1" w:styleId="NormalAgency">
    <w:name w:val="Normal (Agency)"/>
    <w:rsid w:val="009A19B9"/>
    <w:rPr>
      <w:rFonts w:ascii="Verdana" w:eastAsia="Verdana" w:hAnsi="Verdana" w:cs="Verdana"/>
      <w:sz w:val="18"/>
      <w:szCs w:val="18"/>
      <w:lang w:val="en-GB" w:eastAsia="en-GB"/>
    </w:rPr>
  </w:style>
  <w:style w:type="paragraph" w:customStyle="1" w:styleId="No-TOCheadingAgency">
    <w:name w:val="No-TOC heading (Agency)"/>
    <w:basedOn w:val="Normal"/>
    <w:next w:val="Normal"/>
    <w:rsid w:val="009A19B9"/>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9A19B9"/>
    <w:rPr>
      <w:rFonts w:eastAsia="Times New Roman" w:cs="Times New Roman"/>
      <w:sz w:val="17"/>
      <w:lang w:eastAsia="en-GB"/>
    </w:rPr>
  </w:style>
  <w:style w:type="paragraph" w:customStyle="1" w:styleId="TablefirstrowAgency">
    <w:name w:val="Table first row (Agency)"/>
    <w:basedOn w:val="BodytextAgency"/>
    <w:semiHidden/>
    <w:rsid w:val="009A19B9"/>
    <w:pPr>
      <w:keepNext/>
    </w:pPr>
    <w:rPr>
      <w:rFonts w:eastAsia="Times New Roman"/>
      <w:b/>
    </w:rPr>
  </w:style>
  <w:style w:type="paragraph" w:customStyle="1" w:styleId="TableheadingAgency">
    <w:name w:val="Table heading (Agency)"/>
    <w:basedOn w:val="Normal"/>
    <w:next w:val="BodytextAgency"/>
    <w:semiHidden/>
    <w:rsid w:val="009A19B9"/>
    <w:pPr>
      <w:keepNext/>
      <w:numPr>
        <w:numId w:val="39"/>
      </w:numPr>
      <w:spacing w:before="240" w:after="120"/>
    </w:pPr>
  </w:style>
  <w:style w:type="paragraph" w:customStyle="1" w:styleId="TableheadingrowsAgency">
    <w:name w:val="Table heading rows (Agency)"/>
    <w:basedOn w:val="BodytextAgency"/>
    <w:semiHidden/>
    <w:rsid w:val="009A19B9"/>
    <w:pPr>
      <w:keepNext/>
    </w:pPr>
    <w:rPr>
      <w:rFonts w:eastAsia="Times New Roman"/>
      <w:b/>
    </w:rPr>
  </w:style>
  <w:style w:type="paragraph" w:customStyle="1" w:styleId="TabletextrowsAgency">
    <w:name w:val="Table text rows (Agency)"/>
    <w:basedOn w:val="Normal"/>
    <w:rsid w:val="009A19B9"/>
    <w:pPr>
      <w:spacing w:line="280" w:lineRule="exact"/>
    </w:pPr>
    <w:rPr>
      <w:rFonts w:eastAsia="Times New Roman"/>
    </w:rPr>
  </w:style>
  <w:style w:type="paragraph" w:customStyle="1" w:styleId="TableFigurenoteAgency">
    <w:name w:val="Table/Figure note (Agency)"/>
    <w:basedOn w:val="BodytextAgency"/>
    <w:next w:val="BodytextAgency"/>
    <w:rsid w:val="009A19B9"/>
    <w:pPr>
      <w:spacing w:before="60" w:after="240" w:line="240" w:lineRule="auto"/>
    </w:pPr>
    <w:rPr>
      <w:sz w:val="16"/>
      <w:szCs w:val="16"/>
    </w:rPr>
  </w:style>
  <w:style w:type="paragraph" w:styleId="TOC1">
    <w:name w:val="toc 1"/>
    <w:basedOn w:val="Normal"/>
    <w:next w:val="BodytextAgency"/>
    <w:semiHidden/>
    <w:rsid w:val="009A19B9"/>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9A19B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9A19B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9A19B9"/>
    <w:pPr>
      <w:tabs>
        <w:tab w:val="right" w:leader="dot" w:pos="9401"/>
      </w:tabs>
      <w:spacing w:after="57" w:line="240" w:lineRule="atLeast"/>
    </w:pPr>
    <w:rPr>
      <w:noProof/>
      <w:sz w:val="20"/>
    </w:rPr>
  </w:style>
  <w:style w:type="paragraph" w:styleId="TOC5">
    <w:name w:val="toc 5"/>
    <w:basedOn w:val="Normal"/>
    <w:next w:val="BodytextAgency"/>
    <w:semiHidden/>
    <w:rsid w:val="009A19B9"/>
    <w:pPr>
      <w:tabs>
        <w:tab w:val="right" w:leader="dot" w:pos="9401"/>
      </w:tabs>
      <w:spacing w:after="57" w:line="240" w:lineRule="atLeast"/>
    </w:pPr>
    <w:rPr>
      <w:noProof/>
      <w:sz w:val="20"/>
    </w:rPr>
  </w:style>
  <w:style w:type="paragraph" w:styleId="TOC6">
    <w:name w:val="toc 6"/>
    <w:basedOn w:val="Normal"/>
    <w:next w:val="BodytextAgency"/>
    <w:autoRedefine/>
    <w:semiHidden/>
    <w:rsid w:val="009A19B9"/>
    <w:pPr>
      <w:spacing w:after="57" w:line="240" w:lineRule="exact"/>
    </w:pPr>
    <w:rPr>
      <w:rFonts w:eastAsia="Times New Roman"/>
    </w:rPr>
  </w:style>
  <w:style w:type="paragraph" w:styleId="TOC7">
    <w:name w:val="toc 7"/>
    <w:basedOn w:val="Normal"/>
    <w:next w:val="BodytextAgency"/>
    <w:semiHidden/>
    <w:rsid w:val="009A19B9"/>
    <w:pPr>
      <w:spacing w:after="57" w:line="240" w:lineRule="exact"/>
    </w:pPr>
    <w:rPr>
      <w:rFonts w:eastAsia="Times New Roman"/>
    </w:rPr>
  </w:style>
  <w:style w:type="paragraph" w:styleId="TOC8">
    <w:name w:val="toc 8"/>
    <w:basedOn w:val="Normal"/>
    <w:next w:val="BodytextAgency"/>
    <w:semiHidden/>
    <w:rsid w:val="009A19B9"/>
    <w:pPr>
      <w:spacing w:after="57" w:line="240" w:lineRule="exact"/>
    </w:pPr>
    <w:rPr>
      <w:rFonts w:eastAsia="Times New Roman"/>
    </w:rPr>
  </w:style>
  <w:style w:type="paragraph" w:styleId="TOC9">
    <w:name w:val="toc 9"/>
    <w:basedOn w:val="Normal"/>
    <w:next w:val="BodytextAgency"/>
    <w:semiHidden/>
    <w:rsid w:val="009A19B9"/>
    <w:pPr>
      <w:spacing w:after="57" w:line="240" w:lineRule="exact"/>
    </w:pPr>
    <w:rPr>
      <w:rFonts w:eastAsia="Times New Roman"/>
    </w:rPr>
  </w:style>
  <w:style w:type="paragraph" w:styleId="BalloonText">
    <w:name w:val="Balloon Text"/>
    <w:basedOn w:val="Normal"/>
    <w:semiHidden/>
    <w:rsid w:val="009A19B9"/>
    <w:rPr>
      <w:rFonts w:ascii="Tahoma" w:hAnsi="Tahoma" w:cs="Tahoma"/>
      <w:sz w:val="16"/>
      <w:szCs w:val="16"/>
    </w:rPr>
  </w:style>
  <w:style w:type="paragraph" w:styleId="BlockText">
    <w:name w:val="Block Text"/>
    <w:basedOn w:val="Normal"/>
    <w:semiHidden/>
    <w:rsid w:val="009A19B9"/>
    <w:pPr>
      <w:spacing w:after="120"/>
      <w:ind w:left="1440" w:right="1440"/>
    </w:pPr>
  </w:style>
  <w:style w:type="paragraph" w:styleId="BodyText2">
    <w:name w:val="Body Text 2"/>
    <w:basedOn w:val="Normal"/>
    <w:semiHidden/>
    <w:rsid w:val="009A19B9"/>
    <w:pPr>
      <w:spacing w:after="120" w:line="480" w:lineRule="auto"/>
    </w:pPr>
  </w:style>
  <w:style w:type="paragraph" w:styleId="BodyText3">
    <w:name w:val="Body Text 3"/>
    <w:basedOn w:val="Normal"/>
    <w:semiHidden/>
    <w:rsid w:val="009A19B9"/>
    <w:pPr>
      <w:spacing w:after="120"/>
    </w:pPr>
    <w:rPr>
      <w:sz w:val="16"/>
      <w:szCs w:val="16"/>
    </w:rPr>
  </w:style>
  <w:style w:type="paragraph" w:styleId="BodyTextFirstIndent">
    <w:name w:val="Body Text First Indent"/>
    <w:basedOn w:val="BodyText"/>
    <w:semiHidden/>
    <w:rsid w:val="009A19B9"/>
    <w:pPr>
      <w:spacing w:after="120" w:line="240" w:lineRule="auto"/>
      <w:ind w:firstLine="210"/>
    </w:pPr>
  </w:style>
  <w:style w:type="paragraph" w:styleId="BodyTextIndent">
    <w:name w:val="Body Text Indent"/>
    <w:basedOn w:val="Normal"/>
    <w:semiHidden/>
    <w:rsid w:val="009A19B9"/>
    <w:pPr>
      <w:spacing w:after="120"/>
      <w:ind w:left="283"/>
    </w:pPr>
  </w:style>
  <w:style w:type="paragraph" w:styleId="BodyTextFirstIndent2">
    <w:name w:val="Body Text First Indent 2"/>
    <w:basedOn w:val="BodyTextIndent"/>
    <w:semiHidden/>
    <w:rsid w:val="009A19B9"/>
    <w:pPr>
      <w:ind w:firstLine="210"/>
    </w:pPr>
  </w:style>
  <w:style w:type="paragraph" w:styleId="BodyTextIndent2">
    <w:name w:val="Body Text Indent 2"/>
    <w:basedOn w:val="Normal"/>
    <w:semiHidden/>
    <w:rsid w:val="009A19B9"/>
    <w:pPr>
      <w:spacing w:after="120" w:line="480" w:lineRule="auto"/>
      <w:ind w:left="283"/>
    </w:pPr>
  </w:style>
  <w:style w:type="paragraph" w:styleId="BodyTextIndent3">
    <w:name w:val="Body Text Indent 3"/>
    <w:basedOn w:val="Normal"/>
    <w:semiHidden/>
    <w:rsid w:val="009A19B9"/>
    <w:pPr>
      <w:spacing w:after="120"/>
      <w:ind w:left="283"/>
    </w:pPr>
    <w:rPr>
      <w:sz w:val="16"/>
      <w:szCs w:val="16"/>
    </w:rPr>
  </w:style>
  <w:style w:type="paragraph" w:styleId="Caption">
    <w:name w:val="caption"/>
    <w:basedOn w:val="Normal"/>
    <w:next w:val="Normal"/>
    <w:qFormat/>
    <w:rsid w:val="009A19B9"/>
    <w:rPr>
      <w:b/>
      <w:bCs/>
      <w:sz w:val="20"/>
      <w:szCs w:val="20"/>
    </w:rPr>
  </w:style>
  <w:style w:type="paragraph" w:styleId="Closing">
    <w:name w:val="Closing"/>
    <w:basedOn w:val="Normal"/>
    <w:semiHidden/>
    <w:rsid w:val="009A19B9"/>
    <w:pPr>
      <w:ind w:left="4252"/>
    </w:pPr>
  </w:style>
  <w:style w:type="character" w:styleId="CommentReference">
    <w:name w:val="annotation reference"/>
    <w:semiHidden/>
    <w:rsid w:val="009A19B9"/>
    <w:rPr>
      <w:sz w:val="16"/>
      <w:szCs w:val="16"/>
    </w:rPr>
  </w:style>
  <w:style w:type="paragraph" w:styleId="CommentText">
    <w:name w:val="annotation text"/>
    <w:basedOn w:val="Normal"/>
    <w:link w:val="CommentTextChar"/>
    <w:rsid w:val="009A19B9"/>
    <w:rPr>
      <w:rFonts w:cs="Times New Roman"/>
      <w:sz w:val="20"/>
      <w:szCs w:val="20"/>
    </w:rPr>
  </w:style>
  <w:style w:type="paragraph" w:styleId="CommentSubject">
    <w:name w:val="annotation subject"/>
    <w:basedOn w:val="CommentText"/>
    <w:next w:val="CommentText"/>
    <w:semiHidden/>
    <w:rsid w:val="009A19B9"/>
    <w:rPr>
      <w:b/>
      <w:bCs/>
    </w:rPr>
  </w:style>
  <w:style w:type="paragraph" w:styleId="Date">
    <w:name w:val="Date"/>
    <w:basedOn w:val="Normal"/>
    <w:next w:val="Normal"/>
    <w:semiHidden/>
    <w:rsid w:val="009A19B9"/>
  </w:style>
  <w:style w:type="paragraph" w:styleId="DocumentMap">
    <w:name w:val="Document Map"/>
    <w:basedOn w:val="Normal"/>
    <w:semiHidden/>
    <w:rsid w:val="009A19B9"/>
    <w:pPr>
      <w:shd w:val="clear" w:color="auto" w:fill="000080"/>
    </w:pPr>
    <w:rPr>
      <w:rFonts w:ascii="Tahoma" w:hAnsi="Tahoma" w:cs="Tahoma"/>
      <w:sz w:val="20"/>
      <w:szCs w:val="20"/>
    </w:rPr>
  </w:style>
  <w:style w:type="paragraph" w:styleId="E-mailSignature">
    <w:name w:val="E-mail Signature"/>
    <w:basedOn w:val="Normal"/>
    <w:semiHidden/>
    <w:rsid w:val="009A19B9"/>
  </w:style>
  <w:style w:type="character" w:styleId="Emphasis">
    <w:name w:val="Emphasis"/>
    <w:qFormat/>
    <w:rsid w:val="009A19B9"/>
    <w:rPr>
      <w:i/>
      <w:iCs/>
    </w:rPr>
  </w:style>
  <w:style w:type="paragraph" w:styleId="EnvelopeAddress">
    <w:name w:val="envelope address"/>
    <w:basedOn w:val="Normal"/>
    <w:semiHidden/>
    <w:rsid w:val="009A19B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A19B9"/>
    <w:rPr>
      <w:rFonts w:ascii="Arial" w:hAnsi="Arial" w:cs="Arial"/>
      <w:sz w:val="20"/>
      <w:szCs w:val="20"/>
    </w:rPr>
  </w:style>
  <w:style w:type="character" w:styleId="FollowedHyperlink">
    <w:name w:val="FollowedHyperlink"/>
    <w:semiHidden/>
    <w:rsid w:val="009A19B9"/>
    <w:rPr>
      <w:color w:val="800080"/>
      <w:u w:val="single"/>
    </w:rPr>
  </w:style>
  <w:style w:type="character" w:styleId="HTMLAcronym">
    <w:name w:val="HTML Acronym"/>
    <w:basedOn w:val="DefaultParagraphFont"/>
    <w:semiHidden/>
    <w:rsid w:val="009A19B9"/>
  </w:style>
  <w:style w:type="paragraph" w:styleId="HTMLAddress">
    <w:name w:val="HTML Address"/>
    <w:basedOn w:val="Normal"/>
    <w:semiHidden/>
    <w:rsid w:val="009A19B9"/>
    <w:rPr>
      <w:i/>
      <w:iCs/>
    </w:rPr>
  </w:style>
  <w:style w:type="character" w:styleId="HTMLCite">
    <w:name w:val="HTML Cite"/>
    <w:semiHidden/>
    <w:rsid w:val="009A19B9"/>
    <w:rPr>
      <w:i/>
      <w:iCs/>
    </w:rPr>
  </w:style>
  <w:style w:type="character" w:styleId="HTMLCode">
    <w:name w:val="HTML Code"/>
    <w:semiHidden/>
    <w:rsid w:val="009A19B9"/>
    <w:rPr>
      <w:rFonts w:ascii="Courier New" w:hAnsi="Courier New" w:cs="Courier New"/>
      <w:sz w:val="20"/>
      <w:szCs w:val="20"/>
    </w:rPr>
  </w:style>
  <w:style w:type="character" w:styleId="HTMLDefinition">
    <w:name w:val="HTML Definition"/>
    <w:semiHidden/>
    <w:rsid w:val="009A19B9"/>
    <w:rPr>
      <w:i/>
      <w:iCs/>
    </w:rPr>
  </w:style>
  <w:style w:type="character" w:styleId="HTMLKeyboard">
    <w:name w:val="HTML Keyboard"/>
    <w:semiHidden/>
    <w:rsid w:val="009A19B9"/>
    <w:rPr>
      <w:rFonts w:ascii="Courier New" w:hAnsi="Courier New" w:cs="Courier New"/>
      <w:sz w:val="20"/>
      <w:szCs w:val="20"/>
    </w:rPr>
  </w:style>
  <w:style w:type="paragraph" w:styleId="HTMLPreformatted">
    <w:name w:val="HTML Preformatted"/>
    <w:basedOn w:val="Normal"/>
    <w:semiHidden/>
    <w:rsid w:val="009A19B9"/>
    <w:rPr>
      <w:rFonts w:ascii="Courier New" w:hAnsi="Courier New" w:cs="Courier New"/>
      <w:sz w:val="20"/>
      <w:szCs w:val="20"/>
    </w:rPr>
  </w:style>
  <w:style w:type="character" w:styleId="HTMLSample">
    <w:name w:val="HTML Sample"/>
    <w:semiHidden/>
    <w:rsid w:val="009A19B9"/>
    <w:rPr>
      <w:rFonts w:ascii="Courier New" w:hAnsi="Courier New" w:cs="Courier New"/>
    </w:rPr>
  </w:style>
  <w:style w:type="character" w:styleId="HTMLTypewriter">
    <w:name w:val="HTML Typewriter"/>
    <w:semiHidden/>
    <w:rsid w:val="009A19B9"/>
    <w:rPr>
      <w:rFonts w:ascii="Courier New" w:hAnsi="Courier New" w:cs="Courier New"/>
      <w:sz w:val="20"/>
      <w:szCs w:val="20"/>
    </w:rPr>
  </w:style>
  <w:style w:type="character" w:styleId="HTMLVariable">
    <w:name w:val="HTML Variable"/>
    <w:semiHidden/>
    <w:rsid w:val="009A19B9"/>
    <w:rPr>
      <w:i/>
      <w:iCs/>
    </w:rPr>
  </w:style>
  <w:style w:type="character" w:styleId="Hyperlink">
    <w:name w:val="Hyperlink"/>
    <w:semiHidden/>
    <w:rsid w:val="009A19B9"/>
    <w:rPr>
      <w:color w:val="0000FF"/>
      <w:u w:val="single"/>
    </w:rPr>
  </w:style>
  <w:style w:type="paragraph" w:styleId="Index1">
    <w:name w:val="index 1"/>
    <w:basedOn w:val="Normal"/>
    <w:next w:val="Normal"/>
    <w:semiHidden/>
    <w:rsid w:val="009A19B9"/>
    <w:pPr>
      <w:ind w:left="180" w:hanging="180"/>
    </w:pPr>
  </w:style>
  <w:style w:type="paragraph" w:styleId="Index2">
    <w:name w:val="index 2"/>
    <w:basedOn w:val="Normal"/>
    <w:next w:val="Normal"/>
    <w:semiHidden/>
    <w:rsid w:val="009A19B9"/>
    <w:pPr>
      <w:ind w:left="360" w:hanging="180"/>
    </w:pPr>
  </w:style>
  <w:style w:type="paragraph" w:styleId="Index3">
    <w:name w:val="index 3"/>
    <w:basedOn w:val="Normal"/>
    <w:next w:val="Normal"/>
    <w:semiHidden/>
    <w:rsid w:val="009A19B9"/>
    <w:pPr>
      <w:ind w:left="540" w:hanging="180"/>
    </w:pPr>
  </w:style>
  <w:style w:type="paragraph" w:styleId="Index4">
    <w:name w:val="index 4"/>
    <w:basedOn w:val="Normal"/>
    <w:next w:val="Normal"/>
    <w:semiHidden/>
    <w:rsid w:val="009A19B9"/>
    <w:pPr>
      <w:ind w:left="720" w:hanging="180"/>
    </w:pPr>
  </w:style>
  <w:style w:type="paragraph" w:styleId="Index5">
    <w:name w:val="index 5"/>
    <w:basedOn w:val="Normal"/>
    <w:next w:val="Normal"/>
    <w:semiHidden/>
    <w:rsid w:val="009A19B9"/>
    <w:pPr>
      <w:ind w:left="900" w:hanging="180"/>
    </w:pPr>
  </w:style>
  <w:style w:type="paragraph" w:styleId="Index6">
    <w:name w:val="index 6"/>
    <w:basedOn w:val="Normal"/>
    <w:next w:val="Normal"/>
    <w:semiHidden/>
    <w:rsid w:val="009A19B9"/>
    <w:pPr>
      <w:ind w:left="1080" w:hanging="180"/>
    </w:pPr>
  </w:style>
  <w:style w:type="paragraph" w:styleId="Index7">
    <w:name w:val="index 7"/>
    <w:basedOn w:val="Normal"/>
    <w:next w:val="Normal"/>
    <w:semiHidden/>
    <w:rsid w:val="009A19B9"/>
    <w:pPr>
      <w:ind w:left="1260" w:hanging="180"/>
    </w:pPr>
  </w:style>
  <w:style w:type="paragraph" w:styleId="Index8">
    <w:name w:val="index 8"/>
    <w:basedOn w:val="Normal"/>
    <w:next w:val="Normal"/>
    <w:semiHidden/>
    <w:rsid w:val="009A19B9"/>
    <w:pPr>
      <w:ind w:left="1440" w:hanging="180"/>
    </w:pPr>
  </w:style>
  <w:style w:type="paragraph" w:styleId="Index9">
    <w:name w:val="index 9"/>
    <w:basedOn w:val="Normal"/>
    <w:next w:val="Normal"/>
    <w:semiHidden/>
    <w:rsid w:val="009A19B9"/>
    <w:pPr>
      <w:ind w:left="1620" w:hanging="180"/>
    </w:pPr>
  </w:style>
  <w:style w:type="paragraph" w:styleId="IndexHeading">
    <w:name w:val="index heading"/>
    <w:basedOn w:val="Normal"/>
    <w:next w:val="Index1"/>
    <w:semiHidden/>
    <w:rsid w:val="009A19B9"/>
    <w:rPr>
      <w:rFonts w:ascii="Arial" w:hAnsi="Arial" w:cs="Arial"/>
      <w:b/>
      <w:bCs/>
    </w:rPr>
  </w:style>
  <w:style w:type="character" w:styleId="LineNumber">
    <w:name w:val="line number"/>
    <w:basedOn w:val="DefaultParagraphFont"/>
    <w:semiHidden/>
    <w:rsid w:val="009A19B9"/>
  </w:style>
  <w:style w:type="paragraph" w:styleId="List">
    <w:name w:val="List"/>
    <w:basedOn w:val="Normal"/>
    <w:semiHidden/>
    <w:rsid w:val="009A19B9"/>
    <w:pPr>
      <w:ind w:left="283" w:hanging="283"/>
    </w:pPr>
  </w:style>
  <w:style w:type="paragraph" w:styleId="List2">
    <w:name w:val="List 2"/>
    <w:basedOn w:val="Normal"/>
    <w:semiHidden/>
    <w:rsid w:val="009A19B9"/>
    <w:pPr>
      <w:ind w:left="566" w:hanging="283"/>
    </w:pPr>
  </w:style>
  <w:style w:type="paragraph" w:styleId="List3">
    <w:name w:val="List 3"/>
    <w:basedOn w:val="Normal"/>
    <w:semiHidden/>
    <w:rsid w:val="009A19B9"/>
    <w:pPr>
      <w:ind w:left="849" w:hanging="283"/>
    </w:pPr>
  </w:style>
  <w:style w:type="paragraph" w:styleId="List4">
    <w:name w:val="List 4"/>
    <w:basedOn w:val="Normal"/>
    <w:semiHidden/>
    <w:rsid w:val="009A19B9"/>
    <w:pPr>
      <w:ind w:left="1132" w:hanging="283"/>
    </w:pPr>
  </w:style>
  <w:style w:type="paragraph" w:styleId="List5">
    <w:name w:val="List 5"/>
    <w:basedOn w:val="Normal"/>
    <w:semiHidden/>
    <w:rsid w:val="009A19B9"/>
    <w:pPr>
      <w:ind w:left="1415" w:hanging="283"/>
    </w:pPr>
  </w:style>
  <w:style w:type="paragraph" w:styleId="ListBullet">
    <w:name w:val="List Bullet"/>
    <w:basedOn w:val="Normal"/>
    <w:semiHidden/>
    <w:rsid w:val="009A19B9"/>
    <w:pPr>
      <w:numPr>
        <w:numId w:val="17"/>
      </w:numPr>
    </w:pPr>
  </w:style>
  <w:style w:type="paragraph" w:styleId="ListBullet2">
    <w:name w:val="List Bullet 2"/>
    <w:basedOn w:val="Normal"/>
    <w:semiHidden/>
    <w:rsid w:val="009A19B9"/>
    <w:pPr>
      <w:numPr>
        <w:numId w:val="18"/>
      </w:numPr>
    </w:pPr>
  </w:style>
  <w:style w:type="paragraph" w:styleId="ListBullet3">
    <w:name w:val="List Bullet 3"/>
    <w:basedOn w:val="Normal"/>
    <w:semiHidden/>
    <w:rsid w:val="009A19B9"/>
    <w:pPr>
      <w:numPr>
        <w:numId w:val="19"/>
      </w:numPr>
    </w:pPr>
  </w:style>
  <w:style w:type="paragraph" w:styleId="ListBullet4">
    <w:name w:val="List Bullet 4"/>
    <w:basedOn w:val="Normal"/>
    <w:semiHidden/>
    <w:rsid w:val="009A19B9"/>
    <w:pPr>
      <w:numPr>
        <w:numId w:val="20"/>
      </w:numPr>
    </w:pPr>
  </w:style>
  <w:style w:type="paragraph" w:styleId="ListBullet5">
    <w:name w:val="List Bullet 5"/>
    <w:basedOn w:val="Normal"/>
    <w:semiHidden/>
    <w:rsid w:val="009A19B9"/>
    <w:pPr>
      <w:numPr>
        <w:numId w:val="21"/>
      </w:numPr>
    </w:pPr>
  </w:style>
  <w:style w:type="paragraph" w:styleId="ListContinue">
    <w:name w:val="List Continue"/>
    <w:basedOn w:val="Normal"/>
    <w:semiHidden/>
    <w:rsid w:val="009A19B9"/>
    <w:pPr>
      <w:spacing w:after="120"/>
      <w:ind w:left="283"/>
    </w:pPr>
  </w:style>
  <w:style w:type="paragraph" w:styleId="ListContinue2">
    <w:name w:val="List Continue 2"/>
    <w:basedOn w:val="Normal"/>
    <w:semiHidden/>
    <w:rsid w:val="009A19B9"/>
    <w:pPr>
      <w:spacing w:after="120"/>
      <w:ind w:left="566"/>
    </w:pPr>
  </w:style>
  <w:style w:type="paragraph" w:styleId="ListContinue3">
    <w:name w:val="List Continue 3"/>
    <w:basedOn w:val="Normal"/>
    <w:semiHidden/>
    <w:rsid w:val="009A19B9"/>
    <w:pPr>
      <w:spacing w:after="120"/>
      <w:ind w:left="849"/>
    </w:pPr>
  </w:style>
  <w:style w:type="paragraph" w:styleId="ListContinue4">
    <w:name w:val="List Continue 4"/>
    <w:basedOn w:val="Normal"/>
    <w:semiHidden/>
    <w:rsid w:val="009A19B9"/>
    <w:pPr>
      <w:spacing w:after="120"/>
      <w:ind w:left="1132"/>
    </w:pPr>
  </w:style>
  <w:style w:type="paragraph" w:styleId="ListContinue5">
    <w:name w:val="List Continue 5"/>
    <w:basedOn w:val="Normal"/>
    <w:semiHidden/>
    <w:rsid w:val="009A19B9"/>
    <w:pPr>
      <w:spacing w:after="120"/>
      <w:ind w:left="1415"/>
    </w:pPr>
  </w:style>
  <w:style w:type="paragraph" w:styleId="ListNumber">
    <w:name w:val="List Number"/>
    <w:basedOn w:val="Normal"/>
    <w:semiHidden/>
    <w:rsid w:val="009A19B9"/>
    <w:pPr>
      <w:numPr>
        <w:numId w:val="22"/>
      </w:numPr>
    </w:pPr>
  </w:style>
  <w:style w:type="paragraph" w:styleId="ListNumber2">
    <w:name w:val="List Number 2"/>
    <w:basedOn w:val="Normal"/>
    <w:semiHidden/>
    <w:rsid w:val="009A19B9"/>
    <w:pPr>
      <w:numPr>
        <w:numId w:val="23"/>
      </w:numPr>
    </w:pPr>
  </w:style>
  <w:style w:type="paragraph" w:styleId="ListNumber3">
    <w:name w:val="List Number 3"/>
    <w:basedOn w:val="Normal"/>
    <w:semiHidden/>
    <w:rsid w:val="009A19B9"/>
    <w:pPr>
      <w:numPr>
        <w:numId w:val="24"/>
      </w:numPr>
    </w:pPr>
  </w:style>
  <w:style w:type="paragraph" w:styleId="ListNumber4">
    <w:name w:val="List Number 4"/>
    <w:basedOn w:val="Normal"/>
    <w:semiHidden/>
    <w:rsid w:val="009A19B9"/>
    <w:pPr>
      <w:numPr>
        <w:numId w:val="25"/>
      </w:numPr>
    </w:pPr>
  </w:style>
  <w:style w:type="paragraph" w:styleId="ListNumber5">
    <w:name w:val="List Number 5"/>
    <w:basedOn w:val="Normal"/>
    <w:semiHidden/>
    <w:rsid w:val="009A19B9"/>
    <w:pPr>
      <w:numPr>
        <w:numId w:val="26"/>
      </w:numPr>
    </w:pPr>
  </w:style>
  <w:style w:type="paragraph" w:styleId="MacroText">
    <w:name w:val="macro"/>
    <w:semiHidden/>
    <w:rsid w:val="009A19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9A19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9A19B9"/>
    <w:rPr>
      <w:rFonts w:ascii="Times New Roman" w:hAnsi="Times New Roman" w:cs="Times New Roman"/>
      <w:sz w:val="24"/>
      <w:szCs w:val="24"/>
    </w:rPr>
  </w:style>
  <w:style w:type="paragraph" w:styleId="NormalIndent">
    <w:name w:val="Normal Indent"/>
    <w:basedOn w:val="Normal"/>
    <w:semiHidden/>
    <w:rsid w:val="009A19B9"/>
    <w:pPr>
      <w:ind w:left="720"/>
    </w:pPr>
  </w:style>
  <w:style w:type="paragraph" w:styleId="NoteHeading">
    <w:name w:val="Note Heading"/>
    <w:basedOn w:val="Normal"/>
    <w:next w:val="Normal"/>
    <w:semiHidden/>
    <w:rsid w:val="009A19B9"/>
  </w:style>
  <w:style w:type="paragraph" w:styleId="PlainText">
    <w:name w:val="Plain Text"/>
    <w:basedOn w:val="Normal"/>
    <w:semiHidden/>
    <w:rsid w:val="009A19B9"/>
    <w:rPr>
      <w:rFonts w:ascii="Courier New" w:hAnsi="Courier New" w:cs="Courier New"/>
      <w:sz w:val="20"/>
      <w:szCs w:val="20"/>
    </w:rPr>
  </w:style>
  <w:style w:type="paragraph" w:styleId="Salutation">
    <w:name w:val="Salutation"/>
    <w:basedOn w:val="Normal"/>
    <w:next w:val="Normal"/>
    <w:semiHidden/>
    <w:rsid w:val="009A19B9"/>
  </w:style>
  <w:style w:type="paragraph" w:styleId="Signature">
    <w:name w:val="Signature"/>
    <w:basedOn w:val="Normal"/>
    <w:semiHidden/>
    <w:rsid w:val="009A19B9"/>
    <w:pPr>
      <w:ind w:left="4252"/>
    </w:pPr>
  </w:style>
  <w:style w:type="character" w:styleId="Strong">
    <w:name w:val="Strong"/>
    <w:qFormat/>
    <w:rsid w:val="009A19B9"/>
    <w:rPr>
      <w:b/>
      <w:bCs/>
    </w:rPr>
  </w:style>
  <w:style w:type="paragraph" w:styleId="Subtitle">
    <w:name w:val="Subtitle"/>
    <w:basedOn w:val="Normal"/>
    <w:qFormat/>
    <w:rsid w:val="009A19B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A19B9"/>
    <w:pPr>
      <w:ind w:left="180" w:hanging="180"/>
    </w:pPr>
  </w:style>
  <w:style w:type="paragraph" w:styleId="TableofFigures">
    <w:name w:val="table of figures"/>
    <w:basedOn w:val="Normal"/>
    <w:next w:val="Normal"/>
    <w:semiHidden/>
    <w:rsid w:val="009A19B9"/>
  </w:style>
  <w:style w:type="paragraph" w:styleId="Title">
    <w:name w:val="Title"/>
    <w:basedOn w:val="Normal"/>
    <w:qFormat/>
    <w:rsid w:val="009A19B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A19B9"/>
    <w:pPr>
      <w:spacing w:before="120"/>
    </w:pPr>
    <w:rPr>
      <w:rFonts w:ascii="Arial" w:hAnsi="Arial" w:cs="Arial"/>
      <w:b/>
      <w:bCs/>
      <w:sz w:val="24"/>
      <w:szCs w:val="24"/>
    </w:rPr>
  </w:style>
  <w:style w:type="character" w:customStyle="1" w:styleId="DocsubtitleAgencyChar">
    <w:name w:val="Doc subtitle (Agency) Char"/>
    <w:rsid w:val="009A19B9"/>
    <w:rPr>
      <w:rFonts w:ascii="Verdana" w:eastAsia="Verdana" w:hAnsi="Verdana" w:cs="Verdana"/>
      <w:sz w:val="24"/>
      <w:szCs w:val="24"/>
      <w:lang w:val="en-GB" w:eastAsia="en-GB" w:bidi="ar-SA"/>
    </w:rPr>
  </w:style>
  <w:style w:type="character" w:customStyle="1" w:styleId="BodytextAgencyChar">
    <w:name w:val="Body text (Agency) Char"/>
    <w:rsid w:val="009A19B9"/>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9A19B9"/>
    <w:rPr>
      <w:b w:val="0"/>
      <w:i/>
      <w:iCs/>
      <w:color w:val="7BBBB2"/>
    </w:rPr>
  </w:style>
  <w:style w:type="paragraph" w:customStyle="1" w:styleId="Default">
    <w:name w:val="Default"/>
    <w:rsid w:val="00CC2FB8"/>
    <w:pPr>
      <w:autoSpaceDE w:val="0"/>
      <w:autoSpaceDN w:val="0"/>
      <w:adjustRightInd w:val="0"/>
    </w:pPr>
    <w:rPr>
      <w:rFonts w:ascii="Verdana" w:hAnsi="Verdana" w:cs="Verdana"/>
      <w:color w:val="000000"/>
      <w:sz w:val="24"/>
      <w:szCs w:val="24"/>
      <w:lang w:val="en-GB" w:eastAsia="en-GB"/>
    </w:rPr>
  </w:style>
  <w:style w:type="character" w:customStyle="1" w:styleId="CommentTextChar">
    <w:name w:val="Comment Text Char"/>
    <w:link w:val="CommentText"/>
    <w:rsid w:val="00D24B53"/>
    <w:rPr>
      <w:rFonts w:ascii="Verdana" w:hAnsi="Verdana" w:cs="Verdana"/>
      <w:lang w:val="en-GB" w:eastAsia="zh-CN"/>
    </w:rPr>
  </w:style>
  <w:style w:type="paragraph" w:customStyle="1" w:styleId="NoSpacing1">
    <w:name w:val="No Spacing1"/>
    <w:basedOn w:val="Normal"/>
    <w:uiPriority w:val="1"/>
    <w:qFormat/>
    <w:rsid w:val="00233AB9"/>
    <w:rPr>
      <w:rFonts w:ascii="Calibri" w:eastAsia="Calibri" w:hAnsi="Calibri" w:cs="Calibri"/>
      <w:sz w:val="22"/>
      <w:szCs w:val="22"/>
      <w:lang w:val="en-US" w:eastAsia="en-US"/>
    </w:rPr>
  </w:style>
  <w:style w:type="table" w:customStyle="1" w:styleId="GridTable1LightAccent1">
    <w:name w:val="Grid Table 1 Light Accent 1"/>
    <w:basedOn w:val="TableNormal"/>
    <w:uiPriority w:val="46"/>
    <w:rsid w:val="00D52DCD"/>
    <w:rPr>
      <w:lang w:eastAsia="ja-JP"/>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B9"/>
    <w:rPr>
      <w:rFonts w:ascii="Verdana" w:hAnsi="Verdana" w:cs="Verdana"/>
      <w:sz w:val="18"/>
      <w:szCs w:val="18"/>
      <w:lang w:val="en-GB" w:eastAsia="zh-CN"/>
    </w:rPr>
  </w:style>
  <w:style w:type="paragraph" w:styleId="Heading1">
    <w:name w:val="heading 1"/>
    <w:basedOn w:val="No-numheading1Agency"/>
    <w:next w:val="BodytextAgency"/>
    <w:qFormat/>
    <w:rsid w:val="009A19B9"/>
    <w:rPr>
      <w:noProof/>
    </w:rPr>
  </w:style>
  <w:style w:type="paragraph" w:styleId="Heading2">
    <w:name w:val="heading 2"/>
    <w:basedOn w:val="No-numheading2Agency"/>
    <w:next w:val="BodytextAgency"/>
    <w:qFormat/>
    <w:rsid w:val="009A19B9"/>
  </w:style>
  <w:style w:type="paragraph" w:styleId="Heading3">
    <w:name w:val="heading 3"/>
    <w:basedOn w:val="No-numheading3Agency"/>
    <w:next w:val="BodytextAgency"/>
    <w:qFormat/>
    <w:rsid w:val="009A19B9"/>
  </w:style>
  <w:style w:type="paragraph" w:styleId="Heading4">
    <w:name w:val="heading 4"/>
    <w:basedOn w:val="No-numheading4Agency"/>
    <w:next w:val="BodytextAgency"/>
    <w:qFormat/>
    <w:rsid w:val="009A19B9"/>
  </w:style>
  <w:style w:type="paragraph" w:styleId="Heading5">
    <w:name w:val="heading 5"/>
    <w:basedOn w:val="Normal"/>
    <w:next w:val="Normal"/>
    <w:qFormat/>
    <w:rsid w:val="009A19B9"/>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9A19B9"/>
  </w:style>
  <w:style w:type="paragraph" w:styleId="Heading7">
    <w:name w:val="heading 7"/>
    <w:basedOn w:val="No-numheading7Agency"/>
    <w:next w:val="BodytextAgency"/>
    <w:qFormat/>
    <w:rsid w:val="009A19B9"/>
  </w:style>
  <w:style w:type="paragraph" w:styleId="Heading8">
    <w:name w:val="heading 8"/>
    <w:basedOn w:val="No-numheading8Agency"/>
    <w:next w:val="BodytextAgency"/>
    <w:qFormat/>
    <w:rsid w:val="009A19B9"/>
  </w:style>
  <w:style w:type="paragraph" w:styleId="Heading9">
    <w:name w:val="heading 9"/>
    <w:basedOn w:val="No-numheading9Agency"/>
    <w:next w:val="BodytextAgency"/>
    <w:qFormat/>
    <w:rsid w:val="009A1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9A19B9"/>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9A19B9"/>
    <w:pPr>
      <w:spacing w:after="140" w:line="280" w:lineRule="atLeast"/>
    </w:pPr>
    <w:rPr>
      <w:rFonts w:eastAsia="Verdana"/>
      <w:lang w:eastAsia="en-GB"/>
    </w:rPr>
  </w:style>
  <w:style w:type="paragraph" w:customStyle="1" w:styleId="No-numheading2Agency">
    <w:name w:val="No-num heading 2 (Agency)"/>
    <w:basedOn w:val="Normal"/>
    <w:next w:val="BodytextAgency"/>
    <w:rsid w:val="009A19B9"/>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9A19B9"/>
    <w:pPr>
      <w:numPr>
        <w:ilvl w:val="0"/>
        <w:numId w:val="0"/>
      </w:numPr>
    </w:pPr>
  </w:style>
  <w:style w:type="paragraph" w:customStyle="1" w:styleId="Heading3Agency">
    <w:name w:val="Heading 3 (Agency)"/>
    <w:basedOn w:val="Normal"/>
    <w:next w:val="BodytextAgency"/>
    <w:rsid w:val="009A19B9"/>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9A19B9"/>
    <w:pPr>
      <w:numPr>
        <w:ilvl w:val="0"/>
        <w:numId w:val="0"/>
      </w:numPr>
    </w:pPr>
  </w:style>
  <w:style w:type="paragraph" w:customStyle="1" w:styleId="Heading4Agency">
    <w:name w:val="Heading 4 (Agency)"/>
    <w:basedOn w:val="Heading3Agency"/>
    <w:next w:val="BodytextAgency"/>
    <w:semiHidden/>
    <w:rsid w:val="009A19B9"/>
    <w:pPr>
      <w:numPr>
        <w:ilvl w:val="3"/>
      </w:numPr>
      <w:outlineLvl w:val="3"/>
    </w:pPr>
    <w:rPr>
      <w:i/>
      <w:sz w:val="18"/>
      <w:szCs w:val="18"/>
    </w:rPr>
  </w:style>
  <w:style w:type="paragraph" w:customStyle="1" w:styleId="No-numheading6Agency">
    <w:name w:val="No-num heading 6 (Agency)"/>
    <w:basedOn w:val="No-numheading5Agency"/>
    <w:next w:val="BodytextAgency"/>
    <w:semiHidden/>
    <w:rsid w:val="009A19B9"/>
    <w:pPr>
      <w:outlineLvl w:val="5"/>
    </w:pPr>
  </w:style>
  <w:style w:type="paragraph" w:customStyle="1" w:styleId="No-numheading5Agency">
    <w:name w:val="No-num heading 5 (Agency)"/>
    <w:basedOn w:val="Heading5Agency"/>
    <w:next w:val="BodytextAgency"/>
    <w:semiHidden/>
    <w:rsid w:val="009A19B9"/>
    <w:pPr>
      <w:numPr>
        <w:ilvl w:val="0"/>
        <w:numId w:val="0"/>
      </w:numPr>
    </w:pPr>
  </w:style>
  <w:style w:type="paragraph" w:customStyle="1" w:styleId="Heading5Agency">
    <w:name w:val="Heading 5 (Agency)"/>
    <w:basedOn w:val="Heading4Agency"/>
    <w:next w:val="BodytextAgency"/>
    <w:semiHidden/>
    <w:rsid w:val="009A19B9"/>
    <w:pPr>
      <w:numPr>
        <w:ilvl w:val="4"/>
      </w:numPr>
      <w:outlineLvl w:val="4"/>
    </w:pPr>
    <w:rPr>
      <w:i w:val="0"/>
    </w:rPr>
  </w:style>
  <w:style w:type="paragraph" w:customStyle="1" w:styleId="No-numheading7Agency">
    <w:name w:val="No-num heading 7 (Agency)"/>
    <w:basedOn w:val="No-numheading6Agency"/>
    <w:next w:val="BodytextAgency"/>
    <w:semiHidden/>
    <w:rsid w:val="009A19B9"/>
    <w:pPr>
      <w:outlineLvl w:val="6"/>
    </w:pPr>
  </w:style>
  <w:style w:type="paragraph" w:customStyle="1" w:styleId="No-numheading8Agency">
    <w:name w:val="No-num heading 8 (Agency)"/>
    <w:basedOn w:val="No-numheading7Agency"/>
    <w:next w:val="BodytextAgency"/>
    <w:semiHidden/>
    <w:rsid w:val="009A19B9"/>
    <w:pPr>
      <w:outlineLvl w:val="7"/>
    </w:pPr>
  </w:style>
  <w:style w:type="paragraph" w:customStyle="1" w:styleId="No-numheading9Agency">
    <w:name w:val="No-num heading 9 (Agency)"/>
    <w:basedOn w:val="No-numheading8Agency"/>
    <w:next w:val="BodytextAgency"/>
    <w:semiHidden/>
    <w:rsid w:val="009A19B9"/>
    <w:pPr>
      <w:outlineLvl w:val="8"/>
    </w:pPr>
  </w:style>
  <w:style w:type="paragraph" w:styleId="Footer">
    <w:name w:val="footer"/>
    <w:basedOn w:val="Normal"/>
    <w:semiHidden/>
    <w:rsid w:val="009A19B9"/>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9A19B9"/>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9A19B9"/>
  </w:style>
  <w:style w:type="paragraph" w:customStyle="1" w:styleId="FooterAgency">
    <w:name w:val="Footer (Agency)"/>
    <w:basedOn w:val="Normal"/>
    <w:semiHidden/>
    <w:rsid w:val="009A19B9"/>
    <w:rPr>
      <w:rFonts w:eastAsia="Verdana"/>
      <w:color w:val="6D6F71"/>
      <w:sz w:val="14"/>
      <w:szCs w:val="14"/>
      <w:lang w:eastAsia="en-GB"/>
    </w:rPr>
  </w:style>
  <w:style w:type="paragraph" w:customStyle="1" w:styleId="FooterblueAgency">
    <w:name w:val="Footer blue (Agency)"/>
    <w:basedOn w:val="Normal"/>
    <w:semiHidden/>
    <w:rsid w:val="009A19B9"/>
    <w:rPr>
      <w:rFonts w:eastAsia="Verdana"/>
      <w:b/>
      <w:color w:val="003399"/>
      <w:sz w:val="13"/>
      <w:szCs w:val="14"/>
      <w:lang w:eastAsia="en-GB"/>
    </w:rPr>
  </w:style>
  <w:style w:type="character" w:customStyle="1" w:styleId="FooterAgencyCharChar">
    <w:name w:val="Footer (Agency) Char Char"/>
    <w:semiHidden/>
    <w:rsid w:val="009A19B9"/>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9A19B9"/>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9A19B9"/>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9A19B9"/>
    <w:rPr>
      <w:rFonts w:ascii="Verdana" w:eastAsia="Verdana" w:hAnsi="Verdana" w:cs="Verdana"/>
      <w:b/>
      <w:color w:val="003399"/>
      <w:sz w:val="13"/>
      <w:szCs w:val="14"/>
      <w:lang w:val="en-GB" w:eastAsia="en-GB" w:bidi="ar-SA"/>
    </w:rPr>
  </w:style>
  <w:style w:type="paragraph" w:styleId="BodyText">
    <w:name w:val="Body Text"/>
    <w:basedOn w:val="Normal"/>
    <w:semiHidden/>
    <w:rsid w:val="009A19B9"/>
    <w:pPr>
      <w:spacing w:after="140" w:line="280" w:lineRule="atLeast"/>
    </w:pPr>
  </w:style>
  <w:style w:type="paragraph" w:customStyle="1" w:styleId="DisclaimerAgency">
    <w:name w:val="Disclaimer (Agency)"/>
    <w:basedOn w:val="Normal"/>
    <w:semiHidden/>
    <w:rsid w:val="009A19B9"/>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9A19B9"/>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9A19B9"/>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9A19B9"/>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9A19B9"/>
    <w:rPr>
      <w:rFonts w:ascii="Verdana" w:hAnsi="Verdana"/>
      <w:vertAlign w:val="superscript"/>
    </w:rPr>
  </w:style>
  <w:style w:type="character" w:customStyle="1" w:styleId="EndnotereferenceAgency">
    <w:name w:val="Endnote reference (Agency)"/>
    <w:semiHidden/>
    <w:rsid w:val="009A19B9"/>
    <w:rPr>
      <w:rFonts w:ascii="Verdana" w:hAnsi="Verdana"/>
      <w:vertAlign w:val="superscript"/>
    </w:rPr>
  </w:style>
  <w:style w:type="paragraph" w:styleId="EndnoteText">
    <w:name w:val="endnote text"/>
    <w:basedOn w:val="Normal"/>
    <w:semiHidden/>
    <w:rsid w:val="009A19B9"/>
    <w:rPr>
      <w:rFonts w:eastAsia="Verdana"/>
      <w:sz w:val="15"/>
      <w:szCs w:val="15"/>
      <w:lang w:eastAsia="en-GB"/>
    </w:rPr>
  </w:style>
  <w:style w:type="paragraph" w:customStyle="1" w:styleId="EndnotetextAgency">
    <w:name w:val="Endnote text (Agency)"/>
    <w:basedOn w:val="Normal"/>
    <w:semiHidden/>
    <w:rsid w:val="009A19B9"/>
    <w:rPr>
      <w:rFonts w:eastAsia="Verdana"/>
      <w:sz w:val="15"/>
      <w:lang w:eastAsia="en-GB"/>
    </w:rPr>
  </w:style>
  <w:style w:type="paragraph" w:customStyle="1" w:styleId="FigureAgency">
    <w:name w:val="Figure (Agency)"/>
    <w:basedOn w:val="Normal"/>
    <w:next w:val="BodytextAgency"/>
    <w:semiHidden/>
    <w:rsid w:val="009A19B9"/>
    <w:pPr>
      <w:jc w:val="center"/>
    </w:pPr>
  </w:style>
  <w:style w:type="paragraph" w:customStyle="1" w:styleId="FigureheadingAgency">
    <w:name w:val="Figure heading (Agency)"/>
    <w:basedOn w:val="Normal"/>
    <w:next w:val="FigureAgency"/>
    <w:semiHidden/>
    <w:rsid w:val="009A19B9"/>
    <w:pPr>
      <w:keepNext/>
      <w:numPr>
        <w:numId w:val="28"/>
      </w:numPr>
      <w:spacing w:before="240" w:after="120"/>
    </w:pPr>
  </w:style>
  <w:style w:type="character" w:styleId="FootnoteReference">
    <w:name w:val="footnote reference"/>
    <w:semiHidden/>
    <w:rsid w:val="009A19B9"/>
    <w:rPr>
      <w:rFonts w:ascii="Verdana" w:hAnsi="Verdana"/>
      <w:vertAlign w:val="superscript"/>
    </w:rPr>
  </w:style>
  <w:style w:type="character" w:customStyle="1" w:styleId="FootnotereferenceAgency">
    <w:name w:val="Footnote reference (Agency)"/>
    <w:semiHidden/>
    <w:rsid w:val="009A19B9"/>
    <w:rPr>
      <w:rFonts w:ascii="Verdana" w:hAnsi="Verdana"/>
      <w:color w:val="auto"/>
      <w:vertAlign w:val="superscript"/>
    </w:rPr>
  </w:style>
  <w:style w:type="paragraph" w:styleId="FootnoteText">
    <w:name w:val="footnote text"/>
    <w:basedOn w:val="Normal"/>
    <w:semiHidden/>
    <w:rsid w:val="009A19B9"/>
    <w:rPr>
      <w:rFonts w:eastAsia="Verdana"/>
      <w:sz w:val="15"/>
      <w:szCs w:val="20"/>
      <w:lang w:eastAsia="en-GB"/>
    </w:rPr>
  </w:style>
  <w:style w:type="paragraph" w:customStyle="1" w:styleId="FootnotetextAgency">
    <w:name w:val="Footnote text (Agency)"/>
    <w:basedOn w:val="Normal"/>
    <w:semiHidden/>
    <w:rsid w:val="009A19B9"/>
    <w:rPr>
      <w:rFonts w:eastAsia="Verdana"/>
      <w:sz w:val="15"/>
      <w:lang w:eastAsia="en-GB"/>
    </w:rPr>
  </w:style>
  <w:style w:type="paragraph" w:customStyle="1" w:styleId="HeaderAgency">
    <w:name w:val="Header (Agency)"/>
    <w:basedOn w:val="Normal"/>
    <w:semiHidden/>
    <w:rsid w:val="009A19B9"/>
    <w:rPr>
      <w:rFonts w:eastAsia="Verdana"/>
      <w:lang w:eastAsia="en-GB"/>
    </w:rPr>
  </w:style>
  <w:style w:type="paragraph" w:customStyle="1" w:styleId="Heading1Agency">
    <w:name w:val="Heading 1 (Agency)"/>
    <w:basedOn w:val="Normal"/>
    <w:next w:val="BodytextAgency"/>
    <w:rsid w:val="009A19B9"/>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9A19B9"/>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9A19B9"/>
    <w:pPr>
      <w:numPr>
        <w:ilvl w:val="5"/>
      </w:numPr>
      <w:outlineLvl w:val="5"/>
    </w:pPr>
  </w:style>
  <w:style w:type="paragraph" w:customStyle="1" w:styleId="Heading7Agency">
    <w:name w:val="Heading 7 (Agency)"/>
    <w:basedOn w:val="Heading6Agency"/>
    <w:next w:val="BodytextAgency"/>
    <w:semiHidden/>
    <w:rsid w:val="009A19B9"/>
    <w:pPr>
      <w:numPr>
        <w:ilvl w:val="6"/>
      </w:numPr>
      <w:outlineLvl w:val="6"/>
    </w:pPr>
  </w:style>
  <w:style w:type="paragraph" w:customStyle="1" w:styleId="Heading8Agency">
    <w:name w:val="Heading 8 (Agency)"/>
    <w:basedOn w:val="Heading7Agency"/>
    <w:next w:val="BodytextAgency"/>
    <w:semiHidden/>
    <w:rsid w:val="009A19B9"/>
    <w:pPr>
      <w:numPr>
        <w:ilvl w:val="7"/>
      </w:numPr>
      <w:outlineLvl w:val="7"/>
    </w:pPr>
  </w:style>
  <w:style w:type="paragraph" w:customStyle="1" w:styleId="Heading9Agency">
    <w:name w:val="Heading 9 (Agency)"/>
    <w:basedOn w:val="Heading8Agency"/>
    <w:next w:val="BodytextAgency"/>
    <w:semiHidden/>
    <w:rsid w:val="009A19B9"/>
    <w:pPr>
      <w:numPr>
        <w:ilvl w:val="8"/>
      </w:numPr>
      <w:outlineLvl w:val="8"/>
    </w:pPr>
  </w:style>
  <w:style w:type="paragraph" w:customStyle="1" w:styleId="NormalAgency">
    <w:name w:val="Normal (Agency)"/>
    <w:rsid w:val="009A19B9"/>
    <w:rPr>
      <w:rFonts w:ascii="Verdana" w:eastAsia="Verdana" w:hAnsi="Verdana" w:cs="Verdana"/>
      <w:sz w:val="18"/>
      <w:szCs w:val="18"/>
      <w:lang w:val="en-GB" w:eastAsia="en-GB"/>
    </w:rPr>
  </w:style>
  <w:style w:type="paragraph" w:customStyle="1" w:styleId="No-TOCheadingAgency">
    <w:name w:val="No-TOC heading (Agency)"/>
    <w:basedOn w:val="Normal"/>
    <w:next w:val="Normal"/>
    <w:rsid w:val="009A19B9"/>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9A19B9"/>
    <w:rPr>
      <w:rFonts w:eastAsia="Times New Roman" w:cs="Times New Roman"/>
      <w:sz w:val="17"/>
      <w:lang w:eastAsia="en-GB"/>
    </w:rPr>
  </w:style>
  <w:style w:type="paragraph" w:customStyle="1" w:styleId="TablefirstrowAgency">
    <w:name w:val="Table first row (Agency)"/>
    <w:basedOn w:val="BodytextAgency"/>
    <w:semiHidden/>
    <w:rsid w:val="009A19B9"/>
    <w:pPr>
      <w:keepNext/>
    </w:pPr>
    <w:rPr>
      <w:rFonts w:eastAsia="Times New Roman"/>
      <w:b/>
    </w:rPr>
  </w:style>
  <w:style w:type="paragraph" w:customStyle="1" w:styleId="TableheadingAgency">
    <w:name w:val="Table heading (Agency)"/>
    <w:basedOn w:val="Normal"/>
    <w:next w:val="BodytextAgency"/>
    <w:semiHidden/>
    <w:rsid w:val="009A19B9"/>
    <w:pPr>
      <w:keepNext/>
      <w:numPr>
        <w:numId w:val="39"/>
      </w:numPr>
      <w:spacing w:before="240" w:after="120"/>
    </w:pPr>
  </w:style>
  <w:style w:type="paragraph" w:customStyle="1" w:styleId="TableheadingrowsAgency">
    <w:name w:val="Table heading rows (Agency)"/>
    <w:basedOn w:val="BodytextAgency"/>
    <w:semiHidden/>
    <w:rsid w:val="009A19B9"/>
    <w:pPr>
      <w:keepNext/>
    </w:pPr>
    <w:rPr>
      <w:rFonts w:eastAsia="Times New Roman"/>
      <w:b/>
    </w:rPr>
  </w:style>
  <w:style w:type="paragraph" w:customStyle="1" w:styleId="TabletextrowsAgency">
    <w:name w:val="Table text rows (Agency)"/>
    <w:basedOn w:val="Normal"/>
    <w:rsid w:val="009A19B9"/>
    <w:pPr>
      <w:spacing w:line="280" w:lineRule="exact"/>
    </w:pPr>
    <w:rPr>
      <w:rFonts w:eastAsia="Times New Roman"/>
    </w:rPr>
  </w:style>
  <w:style w:type="paragraph" w:customStyle="1" w:styleId="TableFigurenoteAgency">
    <w:name w:val="Table/Figure note (Agency)"/>
    <w:basedOn w:val="BodytextAgency"/>
    <w:next w:val="BodytextAgency"/>
    <w:rsid w:val="009A19B9"/>
    <w:pPr>
      <w:spacing w:before="60" w:after="240" w:line="240" w:lineRule="auto"/>
    </w:pPr>
    <w:rPr>
      <w:sz w:val="16"/>
      <w:szCs w:val="16"/>
    </w:rPr>
  </w:style>
  <w:style w:type="paragraph" w:styleId="TOC1">
    <w:name w:val="toc 1"/>
    <w:basedOn w:val="Normal"/>
    <w:next w:val="BodytextAgency"/>
    <w:semiHidden/>
    <w:rsid w:val="009A19B9"/>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9A19B9"/>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9A19B9"/>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9A19B9"/>
    <w:pPr>
      <w:tabs>
        <w:tab w:val="right" w:leader="dot" w:pos="9401"/>
      </w:tabs>
      <w:spacing w:after="57" w:line="240" w:lineRule="atLeast"/>
    </w:pPr>
    <w:rPr>
      <w:noProof/>
      <w:sz w:val="20"/>
    </w:rPr>
  </w:style>
  <w:style w:type="paragraph" w:styleId="TOC5">
    <w:name w:val="toc 5"/>
    <w:basedOn w:val="Normal"/>
    <w:next w:val="BodytextAgency"/>
    <w:semiHidden/>
    <w:rsid w:val="009A19B9"/>
    <w:pPr>
      <w:tabs>
        <w:tab w:val="right" w:leader="dot" w:pos="9401"/>
      </w:tabs>
      <w:spacing w:after="57" w:line="240" w:lineRule="atLeast"/>
    </w:pPr>
    <w:rPr>
      <w:noProof/>
      <w:sz w:val="20"/>
    </w:rPr>
  </w:style>
  <w:style w:type="paragraph" w:styleId="TOC6">
    <w:name w:val="toc 6"/>
    <w:basedOn w:val="Normal"/>
    <w:next w:val="BodytextAgency"/>
    <w:autoRedefine/>
    <w:semiHidden/>
    <w:rsid w:val="009A19B9"/>
    <w:pPr>
      <w:spacing w:after="57" w:line="240" w:lineRule="exact"/>
    </w:pPr>
    <w:rPr>
      <w:rFonts w:eastAsia="Times New Roman"/>
    </w:rPr>
  </w:style>
  <w:style w:type="paragraph" w:styleId="TOC7">
    <w:name w:val="toc 7"/>
    <w:basedOn w:val="Normal"/>
    <w:next w:val="BodytextAgency"/>
    <w:semiHidden/>
    <w:rsid w:val="009A19B9"/>
    <w:pPr>
      <w:spacing w:after="57" w:line="240" w:lineRule="exact"/>
    </w:pPr>
    <w:rPr>
      <w:rFonts w:eastAsia="Times New Roman"/>
    </w:rPr>
  </w:style>
  <w:style w:type="paragraph" w:styleId="TOC8">
    <w:name w:val="toc 8"/>
    <w:basedOn w:val="Normal"/>
    <w:next w:val="BodytextAgency"/>
    <w:semiHidden/>
    <w:rsid w:val="009A19B9"/>
    <w:pPr>
      <w:spacing w:after="57" w:line="240" w:lineRule="exact"/>
    </w:pPr>
    <w:rPr>
      <w:rFonts w:eastAsia="Times New Roman"/>
    </w:rPr>
  </w:style>
  <w:style w:type="paragraph" w:styleId="TOC9">
    <w:name w:val="toc 9"/>
    <w:basedOn w:val="Normal"/>
    <w:next w:val="BodytextAgency"/>
    <w:semiHidden/>
    <w:rsid w:val="009A19B9"/>
    <w:pPr>
      <w:spacing w:after="57" w:line="240" w:lineRule="exact"/>
    </w:pPr>
    <w:rPr>
      <w:rFonts w:eastAsia="Times New Roman"/>
    </w:rPr>
  </w:style>
  <w:style w:type="paragraph" w:styleId="BalloonText">
    <w:name w:val="Balloon Text"/>
    <w:basedOn w:val="Normal"/>
    <w:semiHidden/>
    <w:rsid w:val="009A19B9"/>
    <w:rPr>
      <w:rFonts w:ascii="Tahoma" w:hAnsi="Tahoma" w:cs="Tahoma"/>
      <w:sz w:val="16"/>
      <w:szCs w:val="16"/>
    </w:rPr>
  </w:style>
  <w:style w:type="paragraph" w:styleId="BlockText">
    <w:name w:val="Block Text"/>
    <w:basedOn w:val="Normal"/>
    <w:semiHidden/>
    <w:rsid w:val="009A19B9"/>
    <w:pPr>
      <w:spacing w:after="120"/>
      <w:ind w:left="1440" w:right="1440"/>
    </w:pPr>
  </w:style>
  <w:style w:type="paragraph" w:styleId="BodyText2">
    <w:name w:val="Body Text 2"/>
    <w:basedOn w:val="Normal"/>
    <w:semiHidden/>
    <w:rsid w:val="009A19B9"/>
    <w:pPr>
      <w:spacing w:after="120" w:line="480" w:lineRule="auto"/>
    </w:pPr>
  </w:style>
  <w:style w:type="paragraph" w:styleId="BodyText3">
    <w:name w:val="Body Text 3"/>
    <w:basedOn w:val="Normal"/>
    <w:semiHidden/>
    <w:rsid w:val="009A19B9"/>
    <w:pPr>
      <w:spacing w:after="120"/>
    </w:pPr>
    <w:rPr>
      <w:sz w:val="16"/>
      <w:szCs w:val="16"/>
    </w:rPr>
  </w:style>
  <w:style w:type="paragraph" w:styleId="BodyTextFirstIndent">
    <w:name w:val="Body Text First Indent"/>
    <w:basedOn w:val="BodyText"/>
    <w:semiHidden/>
    <w:rsid w:val="009A19B9"/>
    <w:pPr>
      <w:spacing w:after="120" w:line="240" w:lineRule="auto"/>
      <w:ind w:firstLine="210"/>
    </w:pPr>
  </w:style>
  <w:style w:type="paragraph" w:styleId="BodyTextIndent">
    <w:name w:val="Body Text Indent"/>
    <w:basedOn w:val="Normal"/>
    <w:semiHidden/>
    <w:rsid w:val="009A19B9"/>
    <w:pPr>
      <w:spacing w:after="120"/>
      <w:ind w:left="283"/>
    </w:pPr>
  </w:style>
  <w:style w:type="paragraph" w:styleId="BodyTextFirstIndent2">
    <w:name w:val="Body Text First Indent 2"/>
    <w:basedOn w:val="BodyTextIndent"/>
    <w:semiHidden/>
    <w:rsid w:val="009A19B9"/>
    <w:pPr>
      <w:ind w:firstLine="210"/>
    </w:pPr>
  </w:style>
  <w:style w:type="paragraph" w:styleId="BodyTextIndent2">
    <w:name w:val="Body Text Indent 2"/>
    <w:basedOn w:val="Normal"/>
    <w:semiHidden/>
    <w:rsid w:val="009A19B9"/>
    <w:pPr>
      <w:spacing w:after="120" w:line="480" w:lineRule="auto"/>
      <w:ind w:left="283"/>
    </w:pPr>
  </w:style>
  <w:style w:type="paragraph" w:styleId="BodyTextIndent3">
    <w:name w:val="Body Text Indent 3"/>
    <w:basedOn w:val="Normal"/>
    <w:semiHidden/>
    <w:rsid w:val="009A19B9"/>
    <w:pPr>
      <w:spacing w:after="120"/>
      <w:ind w:left="283"/>
    </w:pPr>
    <w:rPr>
      <w:sz w:val="16"/>
      <w:szCs w:val="16"/>
    </w:rPr>
  </w:style>
  <w:style w:type="paragraph" w:styleId="Caption">
    <w:name w:val="caption"/>
    <w:basedOn w:val="Normal"/>
    <w:next w:val="Normal"/>
    <w:qFormat/>
    <w:rsid w:val="009A19B9"/>
    <w:rPr>
      <w:b/>
      <w:bCs/>
      <w:sz w:val="20"/>
      <w:szCs w:val="20"/>
    </w:rPr>
  </w:style>
  <w:style w:type="paragraph" w:styleId="Closing">
    <w:name w:val="Closing"/>
    <w:basedOn w:val="Normal"/>
    <w:semiHidden/>
    <w:rsid w:val="009A19B9"/>
    <w:pPr>
      <w:ind w:left="4252"/>
    </w:pPr>
  </w:style>
  <w:style w:type="character" w:styleId="CommentReference">
    <w:name w:val="annotation reference"/>
    <w:semiHidden/>
    <w:rsid w:val="009A19B9"/>
    <w:rPr>
      <w:sz w:val="16"/>
      <w:szCs w:val="16"/>
    </w:rPr>
  </w:style>
  <w:style w:type="paragraph" w:styleId="CommentText">
    <w:name w:val="annotation text"/>
    <w:basedOn w:val="Normal"/>
    <w:link w:val="CommentTextChar"/>
    <w:rsid w:val="009A19B9"/>
    <w:rPr>
      <w:rFonts w:cs="Times New Roman"/>
      <w:sz w:val="20"/>
      <w:szCs w:val="20"/>
    </w:rPr>
  </w:style>
  <w:style w:type="paragraph" w:styleId="CommentSubject">
    <w:name w:val="annotation subject"/>
    <w:basedOn w:val="CommentText"/>
    <w:next w:val="CommentText"/>
    <w:semiHidden/>
    <w:rsid w:val="009A19B9"/>
    <w:rPr>
      <w:b/>
      <w:bCs/>
    </w:rPr>
  </w:style>
  <w:style w:type="paragraph" w:styleId="Date">
    <w:name w:val="Date"/>
    <w:basedOn w:val="Normal"/>
    <w:next w:val="Normal"/>
    <w:semiHidden/>
    <w:rsid w:val="009A19B9"/>
  </w:style>
  <w:style w:type="paragraph" w:styleId="DocumentMap">
    <w:name w:val="Document Map"/>
    <w:basedOn w:val="Normal"/>
    <w:semiHidden/>
    <w:rsid w:val="009A19B9"/>
    <w:pPr>
      <w:shd w:val="clear" w:color="auto" w:fill="000080"/>
    </w:pPr>
    <w:rPr>
      <w:rFonts w:ascii="Tahoma" w:hAnsi="Tahoma" w:cs="Tahoma"/>
      <w:sz w:val="20"/>
      <w:szCs w:val="20"/>
    </w:rPr>
  </w:style>
  <w:style w:type="paragraph" w:styleId="E-mailSignature">
    <w:name w:val="E-mail Signature"/>
    <w:basedOn w:val="Normal"/>
    <w:semiHidden/>
    <w:rsid w:val="009A19B9"/>
  </w:style>
  <w:style w:type="character" w:styleId="Emphasis">
    <w:name w:val="Emphasis"/>
    <w:qFormat/>
    <w:rsid w:val="009A19B9"/>
    <w:rPr>
      <w:i/>
      <w:iCs/>
    </w:rPr>
  </w:style>
  <w:style w:type="paragraph" w:styleId="EnvelopeAddress">
    <w:name w:val="envelope address"/>
    <w:basedOn w:val="Normal"/>
    <w:semiHidden/>
    <w:rsid w:val="009A19B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9A19B9"/>
    <w:rPr>
      <w:rFonts w:ascii="Arial" w:hAnsi="Arial" w:cs="Arial"/>
      <w:sz w:val="20"/>
      <w:szCs w:val="20"/>
    </w:rPr>
  </w:style>
  <w:style w:type="character" w:styleId="FollowedHyperlink">
    <w:name w:val="FollowedHyperlink"/>
    <w:semiHidden/>
    <w:rsid w:val="009A19B9"/>
    <w:rPr>
      <w:color w:val="800080"/>
      <w:u w:val="single"/>
    </w:rPr>
  </w:style>
  <w:style w:type="character" w:styleId="HTMLAcronym">
    <w:name w:val="HTML Acronym"/>
    <w:basedOn w:val="DefaultParagraphFont"/>
    <w:semiHidden/>
    <w:rsid w:val="009A19B9"/>
  </w:style>
  <w:style w:type="paragraph" w:styleId="HTMLAddress">
    <w:name w:val="HTML Address"/>
    <w:basedOn w:val="Normal"/>
    <w:semiHidden/>
    <w:rsid w:val="009A19B9"/>
    <w:rPr>
      <w:i/>
      <w:iCs/>
    </w:rPr>
  </w:style>
  <w:style w:type="character" w:styleId="HTMLCite">
    <w:name w:val="HTML Cite"/>
    <w:semiHidden/>
    <w:rsid w:val="009A19B9"/>
    <w:rPr>
      <w:i/>
      <w:iCs/>
    </w:rPr>
  </w:style>
  <w:style w:type="character" w:styleId="HTMLCode">
    <w:name w:val="HTML Code"/>
    <w:semiHidden/>
    <w:rsid w:val="009A19B9"/>
    <w:rPr>
      <w:rFonts w:ascii="Courier New" w:hAnsi="Courier New" w:cs="Courier New"/>
      <w:sz w:val="20"/>
      <w:szCs w:val="20"/>
    </w:rPr>
  </w:style>
  <w:style w:type="character" w:styleId="HTMLDefinition">
    <w:name w:val="HTML Definition"/>
    <w:semiHidden/>
    <w:rsid w:val="009A19B9"/>
    <w:rPr>
      <w:i/>
      <w:iCs/>
    </w:rPr>
  </w:style>
  <w:style w:type="character" w:styleId="HTMLKeyboard">
    <w:name w:val="HTML Keyboard"/>
    <w:semiHidden/>
    <w:rsid w:val="009A19B9"/>
    <w:rPr>
      <w:rFonts w:ascii="Courier New" w:hAnsi="Courier New" w:cs="Courier New"/>
      <w:sz w:val="20"/>
      <w:szCs w:val="20"/>
    </w:rPr>
  </w:style>
  <w:style w:type="paragraph" w:styleId="HTMLPreformatted">
    <w:name w:val="HTML Preformatted"/>
    <w:basedOn w:val="Normal"/>
    <w:semiHidden/>
    <w:rsid w:val="009A19B9"/>
    <w:rPr>
      <w:rFonts w:ascii="Courier New" w:hAnsi="Courier New" w:cs="Courier New"/>
      <w:sz w:val="20"/>
      <w:szCs w:val="20"/>
    </w:rPr>
  </w:style>
  <w:style w:type="character" w:styleId="HTMLSample">
    <w:name w:val="HTML Sample"/>
    <w:semiHidden/>
    <w:rsid w:val="009A19B9"/>
    <w:rPr>
      <w:rFonts w:ascii="Courier New" w:hAnsi="Courier New" w:cs="Courier New"/>
    </w:rPr>
  </w:style>
  <w:style w:type="character" w:styleId="HTMLTypewriter">
    <w:name w:val="HTML Typewriter"/>
    <w:semiHidden/>
    <w:rsid w:val="009A19B9"/>
    <w:rPr>
      <w:rFonts w:ascii="Courier New" w:hAnsi="Courier New" w:cs="Courier New"/>
      <w:sz w:val="20"/>
      <w:szCs w:val="20"/>
    </w:rPr>
  </w:style>
  <w:style w:type="character" w:styleId="HTMLVariable">
    <w:name w:val="HTML Variable"/>
    <w:semiHidden/>
    <w:rsid w:val="009A19B9"/>
    <w:rPr>
      <w:i/>
      <w:iCs/>
    </w:rPr>
  </w:style>
  <w:style w:type="character" w:styleId="Hyperlink">
    <w:name w:val="Hyperlink"/>
    <w:semiHidden/>
    <w:rsid w:val="009A19B9"/>
    <w:rPr>
      <w:color w:val="0000FF"/>
      <w:u w:val="single"/>
    </w:rPr>
  </w:style>
  <w:style w:type="paragraph" w:styleId="Index1">
    <w:name w:val="index 1"/>
    <w:basedOn w:val="Normal"/>
    <w:next w:val="Normal"/>
    <w:semiHidden/>
    <w:rsid w:val="009A19B9"/>
    <w:pPr>
      <w:ind w:left="180" w:hanging="180"/>
    </w:pPr>
  </w:style>
  <w:style w:type="paragraph" w:styleId="Index2">
    <w:name w:val="index 2"/>
    <w:basedOn w:val="Normal"/>
    <w:next w:val="Normal"/>
    <w:semiHidden/>
    <w:rsid w:val="009A19B9"/>
    <w:pPr>
      <w:ind w:left="360" w:hanging="180"/>
    </w:pPr>
  </w:style>
  <w:style w:type="paragraph" w:styleId="Index3">
    <w:name w:val="index 3"/>
    <w:basedOn w:val="Normal"/>
    <w:next w:val="Normal"/>
    <w:semiHidden/>
    <w:rsid w:val="009A19B9"/>
    <w:pPr>
      <w:ind w:left="540" w:hanging="180"/>
    </w:pPr>
  </w:style>
  <w:style w:type="paragraph" w:styleId="Index4">
    <w:name w:val="index 4"/>
    <w:basedOn w:val="Normal"/>
    <w:next w:val="Normal"/>
    <w:semiHidden/>
    <w:rsid w:val="009A19B9"/>
    <w:pPr>
      <w:ind w:left="720" w:hanging="180"/>
    </w:pPr>
  </w:style>
  <w:style w:type="paragraph" w:styleId="Index5">
    <w:name w:val="index 5"/>
    <w:basedOn w:val="Normal"/>
    <w:next w:val="Normal"/>
    <w:semiHidden/>
    <w:rsid w:val="009A19B9"/>
    <w:pPr>
      <w:ind w:left="900" w:hanging="180"/>
    </w:pPr>
  </w:style>
  <w:style w:type="paragraph" w:styleId="Index6">
    <w:name w:val="index 6"/>
    <w:basedOn w:val="Normal"/>
    <w:next w:val="Normal"/>
    <w:semiHidden/>
    <w:rsid w:val="009A19B9"/>
    <w:pPr>
      <w:ind w:left="1080" w:hanging="180"/>
    </w:pPr>
  </w:style>
  <w:style w:type="paragraph" w:styleId="Index7">
    <w:name w:val="index 7"/>
    <w:basedOn w:val="Normal"/>
    <w:next w:val="Normal"/>
    <w:semiHidden/>
    <w:rsid w:val="009A19B9"/>
    <w:pPr>
      <w:ind w:left="1260" w:hanging="180"/>
    </w:pPr>
  </w:style>
  <w:style w:type="paragraph" w:styleId="Index8">
    <w:name w:val="index 8"/>
    <w:basedOn w:val="Normal"/>
    <w:next w:val="Normal"/>
    <w:semiHidden/>
    <w:rsid w:val="009A19B9"/>
    <w:pPr>
      <w:ind w:left="1440" w:hanging="180"/>
    </w:pPr>
  </w:style>
  <w:style w:type="paragraph" w:styleId="Index9">
    <w:name w:val="index 9"/>
    <w:basedOn w:val="Normal"/>
    <w:next w:val="Normal"/>
    <w:semiHidden/>
    <w:rsid w:val="009A19B9"/>
    <w:pPr>
      <w:ind w:left="1620" w:hanging="180"/>
    </w:pPr>
  </w:style>
  <w:style w:type="paragraph" w:styleId="IndexHeading">
    <w:name w:val="index heading"/>
    <w:basedOn w:val="Normal"/>
    <w:next w:val="Index1"/>
    <w:semiHidden/>
    <w:rsid w:val="009A19B9"/>
    <w:rPr>
      <w:rFonts w:ascii="Arial" w:hAnsi="Arial" w:cs="Arial"/>
      <w:b/>
      <w:bCs/>
    </w:rPr>
  </w:style>
  <w:style w:type="character" w:styleId="LineNumber">
    <w:name w:val="line number"/>
    <w:basedOn w:val="DefaultParagraphFont"/>
    <w:semiHidden/>
    <w:rsid w:val="009A19B9"/>
  </w:style>
  <w:style w:type="paragraph" w:styleId="List">
    <w:name w:val="List"/>
    <w:basedOn w:val="Normal"/>
    <w:semiHidden/>
    <w:rsid w:val="009A19B9"/>
    <w:pPr>
      <w:ind w:left="283" w:hanging="283"/>
    </w:pPr>
  </w:style>
  <w:style w:type="paragraph" w:styleId="List2">
    <w:name w:val="List 2"/>
    <w:basedOn w:val="Normal"/>
    <w:semiHidden/>
    <w:rsid w:val="009A19B9"/>
    <w:pPr>
      <w:ind w:left="566" w:hanging="283"/>
    </w:pPr>
  </w:style>
  <w:style w:type="paragraph" w:styleId="List3">
    <w:name w:val="List 3"/>
    <w:basedOn w:val="Normal"/>
    <w:semiHidden/>
    <w:rsid w:val="009A19B9"/>
    <w:pPr>
      <w:ind w:left="849" w:hanging="283"/>
    </w:pPr>
  </w:style>
  <w:style w:type="paragraph" w:styleId="List4">
    <w:name w:val="List 4"/>
    <w:basedOn w:val="Normal"/>
    <w:semiHidden/>
    <w:rsid w:val="009A19B9"/>
    <w:pPr>
      <w:ind w:left="1132" w:hanging="283"/>
    </w:pPr>
  </w:style>
  <w:style w:type="paragraph" w:styleId="List5">
    <w:name w:val="List 5"/>
    <w:basedOn w:val="Normal"/>
    <w:semiHidden/>
    <w:rsid w:val="009A19B9"/>
    <w:pPr>
      <w:ind w:left="1415" w:hanging="283"/>
    </w:pPr>
  </w:style>
  <w:style w:type="paragraph" w:styleId="ListBullet">
    <w:name w:val="List Bullet"/>
    <w:basedOn w:val="Normal"/>
    <w:semiHidden/>
    <w:rsid w:val="009A19B9"/>
    <w:pPr>
      <w:numPr>
        <w:numId w:val="17"/>
      </w:numPr>
    </w:pPr>
  </w:style>
  <w:style w:type="paragraph" w:styleId="ListBullet2">
    <w:name w:val="List Bullet 2"/>
    <w:basedOn w:val="Normal"/>
    <w:semiHidden/>
    <w:rsid w:val="009A19B9"/>
    <w:pPr>
      <w:numPr>
        <w:numId w:val="18"/>
      </w:numPr>
    </w:pPr>
  </w:style>
  <w:style w:type="paragraph" w:styleId="ListBullet3">
    <w:name w:val="List Bullet 3"/>
    <w:basedOn w:val="Normal"/>
    <w:semiHidden/>
    <w:rsid w:val="009A19B9"/>
    <w:pPr>
      <w:numPr>
        <w:numId w:val="19"/>
      </w:numPr>
    </w:pPr>
  </w:style>
  <w:style w:type="paragraph" w:styleId="ListBullet4">
    <w:name w:val="List Bullet 4"/>
    <w:basedOn w:val="Normal"/>
    <w:semiHidden/>
    <w:rsid w:val="009A19B9"/>
    <w:pPr>
      <w:numPr>
        <w:numId w:val="20"/>
      </w:numPr>
    </w:pPr>
  </w:style>
  <w:style w:type="paragraph" w:styleId="ListBullet5">
    <w:name w:val="List Bullet 5"/>
    <w:basedOn w:val="Normal"/>
    <w:semiHidden/>
    <w:rsid w:val="009A19B9"/>
    <w:pPr>
      <w:numPr>
        <w:numId w:val="21"/>
      </w:numPr>
    </w:pPr>
  </w:style>
  <w:style w:type="paragraph" w:styleId="ListContinue">
    <w:name w:val="List Continue"/>
    <w:basedOn w:val="Normal"/>
    <w:semiHidden/>
    <w:rsid w:val="009A19B9"/>
    <w:pPr>
      <w:spacing w:after="120"/>
      <w:ind w:left="283"/>
    </w:pPr>
  </w:style>
  <w:style w:type="paragraph" w:styleId="ListContinue2">
    <w:name w:val="List Continue 2"/>
    <w:basedOn w:val="Normal"/>
    <w:semiHidden/>
    <w:rsid w:val="009A19B9"/>
    <w:pPr>
      <w:spacing w:after="120"/>
      <w:ind w:left="566"/>
    </w:pPr>
  </w:style>
  <w:style w:type="paragraph" w:styleId="ListContinue3">
    <w:name w:val="List Continue 3"/>
    <w:basedOn w:val="Normal"/>
    <w:semiHidden/>
    <w:rsid w:val="009A19B9"/>
    <w:pPr>
      <w:spacing w:after="120"/>
      <w:ind w:left="849"/>
    </w:pPr>
  </w:style>
  <w:style w:type="paragraph" w:styleId="ListContinue4">
    <w:name w:val="List Continue 4"/>
    <w:basedOn w:val="Normal"/>
    <w:semiHidden/>
    <w:rsid w:val="009A19B9"/>
    <w:pPr>
      <w:spacing w:after="120"/>
      <w:ind w:left="1132"/>
    </w:pPr>
  </w:style>
  <w:style w:type="paragraph" w:styleId="ListContinue5">
    <w:name w:val="List Continue 5"/>
    <w:basedOn w:val="Normal"/>
    <w:semiHidden/>
    <w:rsid w:val="009A19B9"/>
    <w:pPr>
      <w:spacing w:after="120"/>
      <w:ind w:left="1415"/>
    </w:pPr>
  </w:style>
  <w:style w:type="paragraph" w:styleId="ListNumber">
    <w:name w:val="List Number"/>
    <w:basedOn w:val="Normal"/>
    <w:semiHidden/>
    <w:rsid w:val="009A19B9"/>
    <w:pPr>
      <w:numPr>
        <w:numId w:val="22"/>
      </w:numPr>
    </w:pPr>
  </w:style>
  <w:style w:type="paragraph" w:styleId="ListNumber2">
    <w:name w:val="List Number 2"/>
    <w:basedOn w:val="Normal"/>
    <w:semiHidden/>
    <w:rsid w:val="009A19B9"/>
    <w:pPr>
      <w:numPr>
        <w:numId w:val="23"/>
      </w:numPr>
    </w:pPr>
  </w:style>
  <w:style w:type="paragraph" w:styleId="ListNumber3">
    <w:name w:val="List Number 3"/>
    <w:basedOn w:val="Normal"/>
    <w:semiHidden/>
    <w:rsid w:val="009A19B9"/>
    <w:pPr>
      <w:numPr>
        <w:numId w:val="24"/>
      </w:numPr>
    </w:pPr>
  </w:style>
  <w:style w:type="paragraph" w:styleId="ListNumber4">
    <w:name w:val="List Number 4"/>
    <w:basedOn w:val="Normal"/>
    <w:semiHidden/>
    <w:rsid w:val="009A19B9"/>
    <w:pPr>
      <w:numPr>
        <w:numId w:val="25"/>
      </w:numPr>
    </w:pPr>
  </w:style>
  <w:style w:type="paragraph" w:styleId="ListNumber5">
    <w:name w:val="List Number 5"/>
    <w:basedOn w:val="Normal"/>
    <w:semiHidden/>
    <w:rsid w:val="009A19B9"/>
    <w:pPr>
      <w:numPr>
        <w:numId w:val="26"/>
      </w:numPr>
    </w:pPr>
  </w:style>
  <w:style w:type="paragraph" w:styleId="MacroText">
    <w:name w:val="macro"/>
    <w:semiHidden/>
    <w:rsid w:val="009A19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9A19B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9A19B9"/>
    <w:rPr>
      <w:rFonts w:ascii="Times New Roman" w:hAnsi="Times New Roman" w:cs="Times New Roman"/>
      <w:sz w:val="24"/>
      <w:szCs w:val="24"/>
    </w:rPr>
  </w:style>
  <w:style w:type="paragraph" w:styleId="NormalIndent">
    <w:name w:val="Normal Indent"/>
    <w:basedOn w:val="Normal"/>
    <w:semiHidden/>
    <w:rsid w:val="009A19B9"/>
    <w:pPr>
      <w:ind w:left="720"/>
    </w:pPr>
  </w:style>
  <w:style w:type="paragraph" w:styleId="NoteHeading">
    <w:name w:val="Note Heading"/>
    <w:basedOn w:val="Normal"/>
    <w:next w:val="Normal"/>
    <w:semiHidden/>
    <w:rsid w:val="009A19B9"/>
  </w:style>
  <w:style w:type="paragraph" w:styleId="PlainText">
    <w:name w:val="Plain Text"/>
    <w:basedOn w:val="Normal"/>
    <w:semiHidden/>
    <w:rsid w:val="009A19B9"/>
    <w:rPr>
      <w:rFonts w:ascii="Courier New" w:hAnsi="Courier New" w:cs="Courier New"/>
      <w:sz w:val="20"/>
      <w:szCs w:val="20"/>
    </w:rPr>
  </w:style>
  <w:style w:type="paragraph" w:styleId="Salutation">
    <w:name w:val="Salutation"/>
    <w:basedOn w:val="Normal"/>
    <w:next w:val="Normal"/>
    <w:semiHidden/>
    <w:rsid w:val="009A19B9"/>
  </w:style>
  <w:style w:type="paragraph" w:styleId="Signature">
    <w:name w:val="Signature"/>
    <w:basedOn w:val="Normal"/>
    <w:semiHidden/>
    <w:rsid w:val="009A19B9"/>
    <w:pPr>
      <w:ind w:left="4252"/>
    </w:pPr>
  </w:style>
  <w:style w:type="character" w:styleId="Strong">
    <w:name w:val="Strong"/>
    <w:qFormat/>
    <w:rsid w:val="009A19B9"/>
    <w:rPr>
      <w:b/>
      <w:bCs/>
    </w:rPr>
  </w:style>
  <w:style w:type="paragraph" w:styleId="Subtitle">
    <w:name w:val="Subtitle"/>
    <w:basedOn w:val="Normal"/>
    <w:qFormat/>
    <w:rsid w:val="009A19B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9A19B9"/>
    <w:pPr>
      <w:ind w:left="180" w:hanging="180"/>
    </w:pPr>
  </w:style>
  <w:style w:type="paragraph" w:styleId="TableofFigures">
    <w:name w:val="table of figures"/>
    <w:basedOn w:val="Normal"/>
    <w:next w:val="Normal"/>
    <w:semiHidden/>
    <w:rsid w:val="009A19B9"/>
  </w:style>
  <w:style w:type="paragraph" w:styleId="Title">
    <w:name w:val="Title"/>
    <w:basedOn w:val="Normal"/>
    <w:qFormat/>
    <w:rsid w:val="009A19B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9A19B9"/>
    <w:pPr>
      <w:spacing w:before="120"/>
    </w:pPr>
    <w:rPr>
      <w:rFonts w:ascii="Arial" w:hAnsi="Arial" w:cs="Arial"/>
      <w:b/>
      <w:bCs/>
      <w:sz w:val="24"/>
      <w:szCs w:val="24"/>
    </w:rPr>
  </w:style>
  <w:style w:type="character" w:customStyle="1" w:styleId="DocsubtitleAgencyChar">
    <w:name w:val="Doc subtitle (Agency) Char"/>
    <w:rsid w:val="009A19B9"/>
    <w:rPr>
      <w:rFonts w:ascii="Verdana" w:eastAsia="Verdana" w:hAnsi="Verdana" w:cs="Verdana"/>
      <w:sz w:val="24"/>
      <w:szCs w:val="24"/>
      <w:lang w:val="en-GB" w:eastAsia="en-GB" w:bidi="ar-SA"/>
    </w:rPr>
  </w:style>
  <w:style w:type="character" w:customStyle="1" w:styleId="BodytextAgencyChar">
    <w:name w:val="Body text (Agency) Char"/>
    <w:rsid w:val="009A19B9"/>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9A19B9"/>
    <w:rPr>
      <w:b w:val="0"/>
      <w:i/>
      <w:iCs/>
      <w:color w:val="7BBBB2"/>
    </w:rPr>
  </w:style>
  <w:style w:type="paragraph" w:customStyle="1" w:styleId="Default">
    <w:name w:val="Default"/>
    <w:rsid w:val="00CC2FB8"/>
    <w:pPr>
      <w:autoSpaceDE w:val="0"/>
      <w:autoSpaceDN w:val="0"/>
      <w:adjustRightInd w:val="0"/>
    </w:pPr>
    <w:rPr>
      <w:rFonts w:ascii="Verdana" w:hAnsi="Verdana" w:cs="Verdana"/>
      <w:color w:val="000000"/>
      <w:sz w:val="24"/>
      <w:szCs w:val="24"/>
      <w:lang w:val="en-GB" w:eastAsia="en-GB"/>
    </w:rPr>
  </w:style>
  <w:style w:type="character" w:customStyle="1" w:styleId="CommentTextChar">
    <w:name w:val="Comment Text Char"/>
    <w:link w:val="CommentText"/>
    <w:rsid w:val="00D24B53"/>
    <w:rPr>
      <w:rFonts w:ascii="Verdana" w:hAnsi="Verdana" w:cs="Verdana"/>
      <w:lang w:val="en-GB" w:eastAsia="zh-CN"/>
    </w:rPr>
  </w:style>
  <w:style w:type="paragraph" w:customStyle="1" w:styleId="NoSpacing1">
    <w:name w:val="No Spacing1"/>
    <w:basedOn w:val="Normal"/>
    <w:uiPriority w:val="1"/>
    <w:qFormat/>
    <w:rsid w:val="00233AB9"/>
    <w:rPr>
      <w:rFonts w:ascii="Calibri" w:eastAsia="Calibri" w:hAnsi="Calibri" w:cs="Calibri"/>
      <w:sz w:val="22"/>
      <w:szCs w:val="22"/>
      <w:lang w:val="en-US" w:eastAsia="en-US"/>
    </w:rPr>
  </w:style>
  <w:style w:type="table" w:customStyle="1" w:styleId="GridTable1LightAccent1">
    <w:name w:val="Grid Table 1 Light Accent 1"/>
    <w:basedOn w:val="TableNormal"/>
    <w:uiPriority w:val="46"/>
    <w:rsid w:val="00D52DCD"/>
    <w:rPr>
      <w:lang w:eastAsia="ja-JP"/>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344717">
      <w:bodyDiv w:val="1"/>
      <w:marLeft w:val="0"/>
      <w:marRight w:val="0"/>
      <w:marTop w:val="0"/>
      <w:marBottom w:val="0"/>
      <w:divBdr>
        <w:top w:val="none" w:sz="0" w:space="0" w:color="auto"/>
        <w:left w:val="none" w:sz="0" w:space="0" w:color="auto"/>
        <w:bottom w:val="none" w:sz="0" w:space="0" w:color="auto"/>
        <w:right w:val="none" w:sz="0" w:space="0" w:color="auto"/>
      </w:divBdr>
    </w:div>
    <w:div w:id="13628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67BFD9A4D5884CBE787B422533E54C" ma:contentTypeVersion="0" ma:contentTypeDescription="Create a new document." ma:contentTypeScope="" ma:versionID="6e5b42053b142713c936c805ab5c35b8">
  <xsd:schema xmlns:xsd="http://www.w3.org/2001/XMLSchema" xmlns:xs="http://www.w3.org/2001/XMLSchema" xmlns:p="http://schemas.microsoft.com/office/2006/metadata/properties" targetNamespace="http://schemas.microsoft.com/office/2006/metadata/properties" ma:root="true" ma:fieldsID="5c9376137c7fb1c4475f5b5d32ef3c0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E7E491-01D1-4BD0-AA0E-AC280F8D9BDD}">
  <ds:schemaRefs>
    <ds:schemaRef ds:uri="http://schemas.microsoft.com/sharepoint/v3/contenttype/forms"/>
  </ds:schemaRefs>
</ds:datastoreItem>
</file>

<file path=customXml/itemProps2.xml><?xml version="1.0" encoding="utf-8"?>
<ds:datastoreItem xmlns:ds="http://schemas.openxmlformats.org/officeDocument/2006/customXml" ds:itemID="{52B6BBC2-F8AD-4117-8747-95A24A0D3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D5F095-4881-4B9D-9981-91DC52EDD270}">
  <ds:schemaRefs>
    <ds:schemaRef ds:uri="http://schemas.microsoft.com/office/2006/metadata/properties"/>
  </ds:schemaRefs>
</ds:datastoreItem>
</file>

<file path=customXml/itemProps4.xml><?xml version="1.0" encoding="utf-8"?>
<ds:datastoreItem xmlns:ds="http://schemas.openxmlformats.org/officeDocument/2006/customXml" ds:itemID="{DA84BCA8-8A50-694F-A817-DBC74E05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9551</Words>
  <Characters>54447</Characters>
  <Application>Microsoft Macintosh Word</Application>
  <DocSecurity>8</DocSecurity>
  <Lines>453</Lines>
  <Paragraphs>127</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63871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3</cp:revision>
  <cp:lastPrinted>2017-01-26T08:33:00Z</cp:lastPrinted>
  <dcterms:created xsi:type="dcterms:W3CDTF">2017-01-26T09:01:00Z</dcterms:created>
  <dcterms:modified xsi:type="dcterms:W3CDTF">2017-02-07T08:29:00Z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