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BCB80" w14:textId="77777777" w:rsidR="00DF2F69" w:rsidRDefault="006E3B72" w:rsidP="00DF2F69">
      <w:pPr>
        <w:pStyle w:val="RefAgency"/>
        <w:tabs>
          <w:tab w:val="left" w:pos="1277"/>
        </w:tabs>
      </w:pPr>
      <w:r>
        <w:t>15 May 2018</w:t>
      </w:r>
    </w:p>
    <w:p w14:paraId="30AAD906" w14:textId="77777777" w:rsidR="00DF2F69" w:rsidRDefault="00DF2F69" w:rsidP="00DF2F69">
      <w:pPr>
        <w:pStyle w:val="RefAgency"/>
        <w:tabs>
          <w:tab w:val="left" w:pos="1277"/>
        </w:tabs>
      </w:pPr>
    </w:p>
    <w:p w14:paraId="255487C2" w14:textId="77777777" w:rsidR="00DF2F69" w:rsidRDefault="00DF2F69" w:rsidP="00DF2F69">
      <w:pPr>
        <w:pStyle w:val="RefAgency"/>
        <w:tabs>
          <w:tab w:val="left" w:pos="1277"/>
        </w:tabs>
      </w:pPr>
    </w:p>
    <w:p w14:paraId="36E8E961" w14:textId="77777777" w:rsidR="00DF2F69" w:rsidRDefault="00DF2F69" w:rsidP="00DF2F69">
      <w:pPr>
        <w:pStyle w:val="DoctitleAgency"/>
      </w:pPr>
      <w:bookmarkStart w:id="0" w:name="Head"/>
      <w:bookmarkEnd w:id="0"/>
      <w:r>
        <w:t xml:space="preserve">Submission of comments on 'Public consultation concerning the European Union template for good manufacturing practice (GMP) non-compliance statement’ </w:t>
      </w:r>
      <w:r>
        <w:rPr>
          <w:szCs w:val="17"/>
        </w:rPr>
        <w:t>– EMA/189939/2018</w:t>
      </w:r>
    </w:p>
    <w:p w14:paraId="204E0828" w14:textId="77777777" w:rsidR="00DF2F69" w:rsidRDefault="00DF2F69" w:rsidP="00DF2F69">
      <w:pPr>
        <w:pStyle w:val="DocsubtitleAgency"/>
      </w:pPr>
    </w:p>
    <w:p w14:paraId="6C9B98CE" w14:textId="77777777" w:rsidR="00DF2F69" w:rsidRDefault="00DF2F69" w:rsidP="00DF2F69">
      <w:pPr>
        <w:pStyle w:val="No-TOCheadingAgency"/>
      </w:pPr>
      <w:r>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DF2F69" w14:paraId="09CB5459" w14:textId="77777777" w:rsidTr="00F96F2B">
        <w:trPr>
          <w:tblHeader/>
        </w:trPr>
        <w:tc>
          <w:tcPr>
            <w:tcW w:w="5000" w:type="pct"/>
            <w:tcBorders>
              <w:top w:val="nil"/>
              <w:left w:val="nil"/>
              <w:bottom w:val="nil"/>
              <w:right w:val="nil"/>
            </w:tcBorders>
            <w:shd w:val="clear" w:color="auto" w:fill="003399"/>
          </w:tcPr>
          <w:p w14:paraId="28421278" w14:textId="77777777" w:rsidR="00DF2F69" w:rsidRDefault="00DF2F69" w:rsidP="00F96F2B">
            <w:pPr>
              <w:pStyle w:val="TableheadingrowsAgency"/>
              <w:rPr>
                <w:b w:val="0"/>
              </w:rPr>
            </w:pPr>
            <w:r>
              <w:rPr>
                <w:b w:val="0"/>
              </w:rPr>
              <w:t>Name of organisation or individual</w:t>
            </w:r>
          </w:p>
        </w:tc>
      </w:tr>
      <w:tr w:rsidR="00DF2F69" w14:paraId="4A133635" w14:textId="77777777" w:rsidTr="00F96F2B">
        <w:tc>
          <w:tcPr>
            <w:tcW w:w="5000" w:type="pct"/>
            <w:shd w:val="clear" w:color="auto" w:fill="E1E3F2"/>
          </w:tcPr>
          <w:p w14:paraId="586F8A23" w14:textId="77777777" w:rsidR="00DF2F69" w:rsidRPr="0078658C" w:rsidRDefault="00DF2F69" w:rsidP="00F96F2B">
            <w:pPr>
              <w:pStyle w:val="TabletextrowsAgency"/>
              <w:rPr>
                <w:rFonts w:ascii="Times New Roman" w:hAnsi="Times New Roman"/>
                <w:sz w:val="22"/>
                <w:szCs w:val="22"/>
                <w:lang w:val="fr-FR"/>
              </w:rPr>
            </w:pPr>
            <w:r w:rsidRPr="00212AB1">
              <w:t xml:space="preserve">EFPIA </w:t>
            </w:r>
          </w:p>
        </w:tc>
      </w:tr>
    </w:tbl>
    <w:p w14:paraId="5E1372C2" w14:textId="77777777" w:rsidR="00DF2F69" w:rsidRDefault="00DF2F69" w:rsidP="00DF2F69">
      <w:pPr>
        <w:pStyle w:val="BodytextAgency"/>
      </w:pPr>
    </w:p>
    <w:p w14:paraId="2B265EB6" w14:textId="77777777" w:rsidR="00DF2F69" w:rsidRDefault="00DF2F69" w:rsidP="00DF2F69">
      <w:pPr>
        <w:pStyle w:val="BodytextAgency"/>
        <w:rPr>
          <w:i/>
        </w:rPr>
      </w:pPr>
      <w:r>
        <w:rPr>
          <w:i/>
        </w:rPr>
        <w:t>Please note that these comments and the identity of the sender will be published unless a specific justified objection is received.</w:t>
      </w:r>
    </w:p>
    <w:p w14:paraId="7A0C249C" w14:textId="77777777" w:rsidR="00DF2F69" w:rsidRDefault="00DF2F69" w:rsidP="00DF2F69">
      <w:pPr>
        <w:pStyle w:val="BodytextAgency"/>
        <w:rPr>
          <w:i/>
        </w:rPr>
      </w:pPr>
      <w:r>
        <w:rPr>
          <w:i/>
        </w:rPr>
        <w:t>When completed, this form should be sent to the European Medicines Agency electronically, in Word format (not PDF).</w:t>
      </w:r>
    </w:p>
    <w:p w14:paraId="3EE5733A" w14:textId="77777777" w:rsidR="00DF2F69" w:rsidRDefault="00DF2F69" w:rsidP="00DF2F69">
      <w:pPr>
        <w:pStyle w:val="BodytextAgency"/>
      </w:pPr>
    </w:p>
    <w:p w14:paraId="038249F9" w14:textId="77777777" w:rsidR="00DF2F69" w:rsidRDefault="00DF2F69" w:rsidP="00DF2F69">
      <w:pPr>
        <w:pStyle w:val="BodytextAgency"/>
      </w:pPr>
    </w:p>
    <w:p w14:paraId="385C7707" w14:textId="77777777" w:rsidR="00DF2F69" w:rsidRDefault="00DF2F69" w:rsidP="00DF2F69">
      <w:pPr>
        <w:pStyle w:val="BodytextAgency"/>
        <w:sectPr w:rsidR="00DF2F69">
          <w:footerReference w:type="default" r:id="rId8"/>
          <w:headerReference w:type="first" r:id="rId9"/>
          <w:footerReference w:type="first" r:id="rId10"/>
          <w:pgSz w:w="11907" w:h="16839" w:code="9"/>
          <w:pgMar w:top="1418" w:right="1247" w:bottom="1418" w:left="1247" w:header="284" w:footer="680" w:gutter="0"/>
          <w:cols w:space="720"/>
          <w:titlePg/>
          <w:docGrid w:linePitch="326"/>
        </w:sectPr>
      </w:pPr>
    </w:p>
    <w:p w14:paraId="4E4F0968" w14:textId="77777777" w:rsidR="00DF2F69" w:rsidRDefault="00DF2F69" w:rsidP="00DF2F69">
      <w:pPr>
        <w:pStyle w:val="Heading1Agency"/>
      </w:pPr>
      <w:r>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508"/>
        <w:gridCol w:w="5438"/>
        <w:gridCol w:w="6840"/>
      </w:tblGrid>
      <w:tr w:rsidR="00DF2F69" w14:paraId="32A6B964" w14:textId="77777777" w:rsidTr="00F96F2B">
        <w:trPr>
          <w:tblHeader/>
        </w:trPr>
        <w:tc>
          <w:tcPr>
            <w:tcW w:w="848" w:type="pct"/>
            <w:tcBorders>
              <w:top w:val="nil"/>
              <w:left w:val="nil"/>
              <w:bottom w:val="nil"/>
              <w:right w:val="nil"/>
            </w:tcBorders>
            <w:shd w:val="clear" w:color="auto" w:fill="003399"/>
          </w:tcPr>
          <w:p w14:paraId="4928A7A8" w14:textId="77777777" w:rsidR="00DF2F69" w:rsidRDefault="00DF2F69" w:rsidP="00F96F2B">
            <w:pPr>
              <w:pStyle w:val="TableheadingrowsAgency"/>
              <w:rPr>
                <w:b w:val="0"/>
                <w:bCs/>
              </w:rPr>
            </w:pPr>
            <w:r>
              <w:rPr>
                <w:b w:val="0"/>
                <w:bCs/>
              </w:rPr>
              <w:t>Stakeholder number</w:t>
            </w:r>
          </w:p>
          <w:p w14:paraId="37B4BFCF" w14:textId="77777777" w:rsidR="00DF2F69" w:rsidRDefault="00DF2F69" w:rsidP="00F96F2B">
            <w:pPr>
              <w:pStyle w:val="TableheadingrowsAgency"/>
              <w:rPr>
                <w:b w:val="0"/>
                <w:bCs/>
                <w:i/>
                <w:color w:val="339966"/>
              </w:rPr>
            </w:pPr>
            <w:r>
              <w:rPr>
                <w:i/>
                <w:color w:val="339966"/>
              </w:rPr>
              <w:t>(To be completed by the Agency)</w:t>
            </w:r>
          </w:p>
        </w:tc>
        <w:tc>
          <w:tcPr>
            <w:tcW w:w="1839" w:type="pct"/>
            <w:tcBorders>
              <w:top w:val="nil"/>
              <w:left w:val="nil"/>
              <w:bottom w:val="nil"/>
              <w:right w:val="nil"/>
            </w:tcBorders>
            <w:shd w:val="clear" w:color="auto" w:fill="003399"/>
          </w:tcPr>
          <w:p w14:paraId="2C2F31A1" w14:textId="77777777" w:rsidR="00DF2F69" w:rsidRDefault="00DF2F69" w:rsidP="00F96F2B">
            <w:pPr>
              <w:pStyle w:val="TableheadingrowsAgency"/>
              <w:rPr>
                <w:b w:val="0"/>
                <w:bCs/>
              </w:rPr>
            </w:pPr>
            <w:r>
              <w:rPr>
                <w:b w:val="0"/>
                <w:bCs/>
              </w:rPr>
              <w:t>General comment (if any)</w:t>
            </w:r>
          </w:p>
        </w:tc>
        <w:tc>
          <w:tcPr>
            <w:tcW w:w="2313" w:type="pct"/>
            <w:tcBorders>
              <w:top w:val="nil"/>
              <w:left w:val="nil"/>
              <w:bottom w:val="nil"/>
              <w:right w:val="nil"/>
            </w:tcBorders>
            <w:shd w:val="clear" w:color="auto" w:fill="003399"/>
          </w:tcPr>
          <w:p w14:paraId="298FC7A1" w14:textId="77777777" w:rsidR="00DF2F69" w:rsidRDefault="00DF2F69" w:rsidP="00F96F2B">
            <w:pPr>
              <w:pStyle w:val="TableheadingrowsAgency"/>
              <w:rPr>
                <w:b w:val="0"/>
                <w:bCs/>
              </w:rPr>
            </w:pPr>
            <w:r>
              <w:rPr>
                <w:b w:val="0"/>
                <w:bCs/>
              </w:rPr>
              <w:t>Outcome (if applicable)</w:t>
            </w:r>
          </w:p>
          <w:p w14:paraId="0BEA32AC" w14:textId="77777777" w:rsidR="00DF2F69" w:rsidRDefault="00DF2F69" w:rsidP="00F96F2B">
            <w:pPr>
              <w:pStyle w:val="TableheadingrowsAgency"/>
              <w:rPr>
                <w:b w:val="0"/>
                <w:bCs/>
                <w:i/>
                <w:color w:val="339966"/>
              </w:rPr>
            </w:pPr>
            <w:r>
              <w:rPr>
                <w:i/>
                <w:color w:val="339966"/>
              </w:rPr>
              <w:t>(To be completed by the Agency)</w:t>
            </w:r>
          </w:p>
        </w:tc>
      </w:tr>
      <w:tr w:rsidR="00DF2F69" w14:paraId="77C8C037" w14:textId="77777777" w:rsidTr="00F96F2B">
        <w:tc>
          <w:tcPr>
            <w:tcW w:w="848" w:type="pct"/>
            <w:shd w:val="clear" w:color="auto" w:fill="E1E3F2"/>
          </w:tcPr>
          <w:p w14:paraId="4123010D" w14:textId="77777777" w:rsidR="00DF2F69" w:rsidRDefault="00DF2F69" w:rsidP="00F96F2B">
            <w:pPr>
              <w:pStyle w:val="TabletextrowsAgency"/>
            </w:pPr>
          </w:p>
        </w:tc>
        <w:tc>
          <w:tcPr>
            <w:tcW w:w="1839" w:type="pct"/>
            <w:shd w:val="clear" w:color="auto" w:fill="E1E3F2"/>
          </w:tcPr>
          <w:p w14:paraId="76EC33C0" w14:textId="77777777" w:rsidR="00DF2F69" w:rsidRPr="00BA600B" w:rsidRDefault="00DF2F69" w:rsidP="0066606B">
            <w:pPr>
              <w:pStyle w:val="TabletextrowsAgency"/>
              <w:spacing w:line="240" w:lineRule="exact"/>
              <w:jc w:val="both"/>
            </w:pPr>
            <w:r>
              <w:t xml:space="preserve">EFPIA welcomes this initiative to update the </w:t>
            </w:r>
            <w:r w:rsidRPr="00353B87">
              <w:t>EU template for GMP non-compliance statement</w:t>
            </w:r>
            <w:r>
              <w:t xml:space="preserve"> in order to integrate the key principles of ICH Q9 on Quality Risk Management and to improve situations that might lead to shortages of critical medicinal products.</w:t>
            </w:r>
          </w:p>
        </w:tc>
        <w:tc>
          <w:tcPr>
            <w:tcW w:w="2313" w:type="pct"/>
            <w:shd w:val="clear" w:color="auto" w:fill="E1E3F2"/>
          </w:tcPr>
          <w:p w14:paraId="5E8A3965" w14:textId="77777777" w:rsidR="00DF2F69" w:rsidRPr="00B32CCE" w:rsidRDefault="00DF2F69" w:rsidP="00F96F2B">
            <w:pPr>
              <w:pStyle w:val="TabletextrowsAgency"/>
              <w:rPr>
                <w:b/>
                <w:color w:val="000000"/>
              </w:rPr>
            </w:pPr>
          </w:p>
        </w:tc>
      </w:tr>
      <w:tr w:rsidR="00DF2F69" w14:paraId="4F4F8EB4" w14:textId="77777777" w:rsidTr="00F96F2B">
        <w:tc>
          <w:tcPr>
            <w:tcW w:w="848" w:type="pct"/>
            <w:shd w:val="clear" w:color="auto" w:fill="E1E3F2"/>
          </w:tcPr>
          <w:p w14:paraId="6B82E6BA" w14:textId="77777777" w:rsidR="00DF2F69" w:rsidRDefault="00DF2F69" w:rsidP="00F96F2B">
            <w:pPr>
              <w:pStyle w:val="TabletextrowsAgency"/>
            </w:pPr>
          </w:p>
        </w:tc>
        <w:tc>
          <w:tcPr>
            <w:tcW w:w="1839" w:type="pct"/>
            <w:shd w:val="clear" w:color="auto" w:fill="E1E3F2"/>
          </w:tcPr>
          <w:p w14:paraId="17DA6B61" w14:textId="77777777" w:rsidR="00DF2F69" w:rsidRPr="00BA600B" w:rsidRDefault="00DF2F69" w:rsidP="0066606B">
            <w:pPr>
              <w:pStyle w:val="Default"/>
              <w:spacing w:line="240" w:lineRule="exact"/>
              <w:jc w:val="both"/>
              <w:rPr>
                <w:sz w:val="18"/>
                <w:szCs w:val="18"/>
              </w:rPr>
            </w:pPr>
            <w:r w:rsidRPr="00BA600B">
              <w:rPr>
                <w:sz w:val="18"/>
                <w:szCs w:val="18"/>
              </w:rPr>
              <w:t xml:space="preserve">The requirements could benefit from specifying timelines for responses from both industry and regulators to name </w:t>
            </w:r>
            <w:r>
              <w:rPr>
                <w:sz w:val="18"/>
                <w:szCs w:val="18"/>
              </w:rPr>
              <w:t xml:space="preserve">e.g., </w:t>
            </w:r>
            <w:r w:rsidRPr="00BA600B">
              <w:rPr>
                <w:sz w:val="18"/>
                <w:szCs w:val="18"/>
              </w:rPr>
              <w:t>30 calendar days</w:t>
            </w:r>
            <w:r>
              <w:rPr>
                <w:sz w:val="18"/>
                <w:szCs w:val="18"/>
              </w:rPr>
              <w:t xml:space="preserve"> rather than 20 working days as there are different bank holidays in the EU member states</w:t>
            </w:r>
            <w:r w:rsidR="006E3B72">
              <w:rPr>
                <w:sz w:val="18"/>
                <w:szCs w:val="18"/>
              </w:rPr>
              <w:t>.</w:t>
            </w:r>
          </w:p>
        </w:tc>
        <w:tc>
          <w:tcPr>
            <w:tcW w:w="2313" w:type="pct"/>
            <w:shd w:val="clear" w:color="auto" w:fill="E1E3F2"/>
          </w:tcPr>
          <w:p w14:paraId="31561AD1" w14:textId="77777777" w:rsidR="00DF2F69" w:rsidRPr="00B32CCE" w:rsidRDefault="00DF2F69" w:rsidP="00F96F2B">
            <w:pPr>
              <w:pStyle w:val="TabletextrowsAgency"/>
              <w:rPr>
                <w:color w:val="000000"/>
              </w:rPr>
            </w:pPr>
          </w:p>
        </w:tc>
      </w:tr>
      <w:tr w:rsidR="00DF2F69" w14:paraId="2F04DE8C" w14:textId="77777777" w:rsidTr="00F96F2B">
        <w:tc>
          <w:tcPr>
            <w:tcW w:w="848" w:type="pct"/>
            <w:shd w:val="clear" w:color="auto" w:fill="E1E3F2"/>
          </w:tcPr>
          <w:p w14:paraId="3A2273DF" w14:textId="77777777" w:rsidR="00DF2F69" w:rsidRDefault="00DF2F69" w:rsidP="00F96F2B">
            <w:pPr>
              <w:pStyle w:val="TabletextrowsAgency"/>
            </w:pPr>
          </w:p>
        </w:tc>
        <w:tc>
          <w:tcPr>
            <w:tcW w:w="1839" w:type="pct"/>
            <w:shd w:val="clear" w:color="auto" w:fill="E1E3F2"/>
          </w:tcPr>
          <w:p w14:paraId="56C3FBBD" w14:textId="77777777" w:rsidR="00DF2F69" w:rsidRDefault="00DF2F69" w:rsidP="0066606B">
            <w:pPr>
              <w:pStyle w:val="TabletextrowsAgency"/>
              <w:spacing w:line="240" w:lineRule="exact"/>
              <w:jc w:val="both"/>
            </w:pPr>
            <w:r>
              <w:t>This document talks in differ</w:t>
            </w:r>
            <w:r w:rsidRPr="005D31D4">
              <w:t>ent parts about ‘affected’ Marketing Authorization Holders. We recommend to clarify if this is the country of origin and</w:t>
            </w:r>
            <w:r>
              <w:t>/or</w:t>
            </w:r>
            <w:r w:rsidRPr="005D31D4">
              <w:t xml:space="preserve"> the importing countr</w:t>
            </w:r>
            <w:r>
              <w:t>y</w:t>
            </w:r>
            <w:r w:rsidR="006E3B72">
              <w:t>.</w:t>
            </w:r>
          </w:p>
        </w:tc>
        <w:tc>
          <w:tcPr>
            <w:tcW w:w="2313" w:type="pct"/>
            <w:shd w:val="clear" w:color="auto" w:fill="E1E3F2"/>
          </w:tcPr>
          <w:p w14:paraId="379D77AC" w14:textId="77777777" w:rsidR="00DF2F69" w:rsidRPr="00B32CCE" w:rsidRDefault="00DF2F69" w:rsidP="00F96F2B">
            <w:pPr>
              <w:pStyle w:val="TabletextrowsAgency"/>
              <w:rPr>
                <w:color w:val="000000"/>
              </w:rPr>
            </w:pPr>
          </w:p>
        </w:tc>
      </w:tr>
    </w:tbl>
    <w:p w14:paraId="68DA6B43" w14:textId="77777777" w:rsidR="00DF2F69" w:rsidRDefault="00DF2F69" w:rsidP="00DF2F69">
      <w:pPr>
        <w:pStyle w:val="BodytextAgency"/>
      </w:pPr>
    </w:p>
    <w:p w14:paraId="1E51D158" w14:textId="77777777" w:rsidR="00DF2F69" w:rsidRDefault="00DF2F69" w:rsidP="00DF2F69">
      <w:pPr>
        <w:pStyle w:val="Heading1Agency"/>
        <w:pageBreakBefore/>
      </w:pPr>
      <w:r>
        <w:t>Specific comments on text</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908"/>
        <w:gridCol w:w="2401"/>
        <w:gridCol w:w="5932"/>
        <w:gridCol w:w="4545"/>
      </w:tblGrid>
      <w:tr w:rsidR="00DF2F69" w14:paraId="6C59D3A9" w14:textId="77777777" w:rsidTr="00F96F2B">
        <w:trPr>
          <w:tblHeader/>
        </w:trPr>
        <w:tc>
          <w:tcPr>
            <w:tcW w:w="645" w:type="pct"/>
            <w:tcBorders>
              <w:top w:val="nil"/>
              <w:left w:val="nil"/>
              <w:bottom w:val="nil"/>
              <w:right w:val="nil"/>
            </w:tcBorders>
            <w:shd w:val="clear" w:color="auto" w:fill="003399"/>
          </w:tcPr>
          <w:p w14:paraId="43D8D4F1" w14:textId="77777777" w:rsidR="00DF2F69" w:rsidRDefault="00DF2F69" w:rsidP="00F96F2B">
            <w:r w:rsidRPr="00D16159">
              <w:t>Statement, part I</w:t>
            </w:r>
            <w:r w:rsidRPr="00D16159">
              <w:br/>
              <w:t>2</w:t>
            </w:r>
            <w:r w:rsidRPr="00D16159">
              <w:rPr>
                <w:vertAlign w:val="superscript"/>
              </w:rPr>
              <w:t>nd</w:t>
            </w:r>
            <w:r w:rsidRPr="00D16159">
              <w:t xml:space="preserve"> paragraph</w:t>
            </w:r>
          </w:p>
        </w:tc>
        <w:tc>
          <w:tcPr>
            <w:tcW w:w="812" w:type="pct"/>
            <w:tcBorders>
              <w:top w:val="nil"/>
              <w:left w:val="nil"/>
              <w:bottom w:val="nil"/>
              <w:right w:val="nil"/>
            </w:tcBorders>
            <w:shd w:val="clear" w:color="auto" w:fill="003399"/>
          </w:tcPr>
          <w:p w14:paraId="706DEF53" w14:textId="77777777" w:rsidR="00DF2F69" w:rsidRDefault="00DF2F69" w:rsidP="00F96F2B">
            <w:pPr>
              <w:pStyle w:val="TableheadingrowsAgency"/>
              <w:rPr>
                <w:b w:val="0"/>
              </w:rPr>
            </w:pPr>
            <w:r>
              <w:rPr>
                <w:b w:val="0"/>
              </w:rPr>
              <w:t>Stakeholder number</w:t>
            </w:r>
          </w:p>
          <w:p w14:paraId="448331D2" w14:textId="77777777" w:rsidR="00DF2F69" w:rsidRDefault="00DF2F69" w:rsidP="00F96F2B">
            <w:pPr>
              <w:pStyle w:val="TableheadingrowsAgency"/>
              <w:rPr>
                <w:b w:val="0"/>
              </w:rPr>
            </w:pPr>
            <w:r>
              <w:rPr>
                <w:i/>
                <w:color w:val="339966"/>
              </w:rPr>
              <w:t>(To be completed by the Agency)</w:t>
            </w:r>
          </w:p>
        </w:tc>
        <w:tc>
          <w:tcPr>
            <w:tcW w:w="2006" w:type="pct"/>
            <w:tcBorders>
              <w:top w:val="nil"/>
              <w:left w:val="nil"/>
              <w:bottom w:val="nil"/>
              <w:right w:val="nil"/>
            </w:tcBorders>
            <w:shd w:val="clear" w:color="auto" w:fill="003399"/>
          </w:tcPr>
          <w:p w14:paraId="781B2A11" w14:textId="77777777" w:rsidR="00DF2F69" w:rsidRDefault="00DF2F69" w:rsidP="00F96F2B">
            <w:pPr>
              <w:pStyle w:val="TableheadingrowsAgency"/>
              <w:rPr>
                <w:b w:val="0"/>
              </w:rPr>
            </w:pPr>
            <w:r>
              <w:rPr>
                <w:b w:val="0"/>
              </w:rPr>
              <w:t>Comment and rationale; proposed changes</w:t>
            </w:r>
          </w:p>
          <w:p w14:paraId="4529B3C7" w14:textId="77777777" w:rsidR="00DF2F69" w:rsidRDefault="00DF2F69" w:rsidP="00F96F2B">
            <w:pPr>
              <w:pStyle w:val="TableheadingrowsAgency"/>
              <w:rPr>
                <w:b w:val="0"/>
                <w:i/>
                <w:color w:val="339966"/>
              </w:rPr>
            </w:pPr>
            <w:r>
              <w:rPr>
                <w:i/>
                <w:color w:val="339966"/>
              </w:rPr>
              <w:t>(If changes to the wording are suggested, they should be highlighted using 'track changes')</w:t>
            </w:r>
          </w:p>
        </w:tc>
        <w:tc>
          <w:tcPr>
            <w:tcW w:w="1537" w:type="pct"/>
            <w:tcBorders>
              <w:top w:val="nil"/>
              <w:left w:val="nil"/>
              <w:bottom w:val="nil"/>
              <w:right w:val="nil"/>
            </w:tcBorders>
            <w:shd w:val="clear" w:color="auto" w:fill="003399"/>
          </w:tcPr>
          <w:p w14:paraId="6BE2BED2" w14:textId="77777777" w:rsidR="00DF2F69" w:rsidRDefault="00DF2F69" w:rsidP="00F96F2B">
            <w:pPr>
              <w:pStyle w:val="TableheadingrowsAgency"/>
              <w:rPr>
                <w:b w:val="0"/>
              </w:rPr>
            </w:pPr>
            <w:r>
              <w:rPr>
                <w:b w:val="0"/>
              </w:rPr>
              <w:t>Outcome</w:t>
            </w:r>
          </w:p>
          <w:p w14:paraId="74BF5CD8" w14:textId="77777777" w:rsidR="00DF2F69" w:rsidRDefault="00DF2F69" w:rsidP="00F96F2B">
            <w:pPr>
              <w:pStyle w:val="TableheadingrowsAgency"/>
              <w:rPr>
                <w:b w:val="0"/>
              </w:rPr>
            </w:pPr>
            <w:r>
              <w:rPr>
                <w:i/>
                <w:color w:val="339966"/>
              </w:rPr>
              <w:t>(To be completed by the Agency)</w:t>
            </w:r>
          </w:p>
        </w:tc>
      </w:tr>
      <w:tr w:rsidR="00DF2F69" w14:paraId="041D2A54" w14:textId="77777777" w:rsidTr="00F96F2B">
        <w:tc>
          <w:tcPr>
            <w:tcW w:w="645" w:type="pct"/>
            <w:shd w:val="clear" w:color="auto" w:fill="E1E3F2"/>
          </w:tcPr>
          <w:p w14:paraId="4D19EAB6" w14:textId="77777777" w:rsidR="00DF2F69" w:rsidRPr="00FC038C" w:rsidRDefault="00DF2F69" w:rsidP="00F96F2B">
            <w:pPr>
              <w:pStyle w:val="TabletextrowsAgency"/>
            </w:pPr>
            <w:r w:rsidRPr="00FC038C">
              <w:t>1. Introduction Par. 3, bullet 3</w:t>
            </w:r>
          </w:p>
        </w:tc>
        <w:tc>
          <w:tcPr>
            <w:tcW w:w="812" w:type="pct"/>
            <w:shd w:val="clear" w:color="auto" w:fill="E1E3F2"/>
          </w:tcPr>
          <w:p w14:paraId="764E2CBE" w14:textId="77777777" w:rsidR="00DF2F69" w:rsidRPr="00FC038C" w:rsidRDefault="00DF2F69" w:rsidP="00F96F2B">
            <w:pPr>
              <w:pStyle w:val="TabletextrowsAgency"/>
            </w:pPr>
          </w:p>
        </w:tc>
        <w:tc>
          <w:tcPr>
            <w:tcW w:w="2006" w:type="pct"/>
            <w:shd w:val="clear" w:color="auto" w:fill="E1E3F2"/>
          </w:tcPr>
          <w:p w14:paraId="3017730E" w14:textId="6154E6DF" w:rsidR="00DF2F69" w:rsidRPr="00FC038C" w:rsidRDefault="00DF2F69" w:rsidP="00760CD3">
            <w:pPr>
              <w:pStyle w:val="TabletextrowsAgency"/>
              <w:spacing w:line="240" w:lineRule="exact"/>
              <w:rPr>
                <w:rFonts w:cs="Tahoma"/>
                <w:color w:val="000000"/>
                <w:lang w:val="en-US" w:eastAsia="en-US"/>
              </w:rPr>
            </w:pPr>
            <w:r w:rsidRPr="00FC038C">
              <w:rPr>
                <w:b/>
              </w:rPr>
              <w:t>…</w:t>
            </w:r>
            <w:r w:rsidR="00DB20F7">
              <w:rPr>
                <w:b/>
              </w:rPr>
              <w:t xml:space="preserve"> </w:t>
            </w:r>
            <w:proofErr w:type="gramStart"/>
            <w:r w:rsidRPr="00FC038C">
              <w:rPr>
                <w:b/>
              </w:rPr>
              <w:t>avoiding</w:t>
            </w:r>
            <w:proofErr w:type="gramEnd"/>
            <w:r w:rsidRPr="00FC038C">
              <w:rPr>
                <w:b/>
              </w:rPr>
              <w:t xml:space="preserve"> generation of conditioned GMP certificates..</w:t>
            </w:r>
            <w:r w:rsidRPr="00FC038C">
              <w:rPr>
                <w:b/>
              </w:rPr>
              <w:br/>
            </w:r>
            <w:r w:rsidRPr="00FC038C">
              <w:t>Proposed change:</w:t>
            </w:r>
            <w:r w:rsidRPr="00FC038C">
              <w:br/>
              <w:t xml:space="preserve">Avoiding conditioned GMP certificates along with non-compliance statements is appropriate from a general perspective. However, </w:t>
            </w:r>
            <w:r w:rsidRPr="00FC038C">
              <w:rPr>
                <w:rFonts w:cs="Tahoma"/>
                <w:color w:val="000000"/>
                <w:lang w:val="en-US" w:eastAsia="en-US"/>
              </w:rPr>
              <w:t>when it comes to critical (essential) medicines, the possibility of a restricted GMP certificate should be maintained to ensure if required continuity of supply via maintaining necessary activities (manufacturing and/or testing)</w:t>
            </w:r>
            <w:r w:rsidR="006E3B72" w:rsidRPr="00FC038C">
              <w:rPr>
                <w:rFonts w:cs="Tahoma"/>
                <w:color w:val="000000"/>
                <w:lang w:val="en-US" w:eastAsia="en-US"/>
              </w:rPr>
              <w:t>.</w:t>
            </w:r>
          </w:p>
        </w:tc>
        <w:tc>
          <w:tcPr>
            <w:tcW w:w="1537" w:type="pct"/>
            <w:shd w:val="clear" w:color="auto" w:fill="E1E3F2"/>
          </w:tcPr>
          <w:p w14:paraId="0EA5A7A5" w14:textId="77777777" w:rsidR="00DF2F69" w:rsidRPr="00B32CCE" w:rsidRDefault="00DF2F69" w:rsidP="00F96F2B">
            <w:pPr>
              <w:pStyle w:val="TabletextrowsAgency"/>
              <w:rPr>
                <w:color w:val="000000"/>
              </w:rPr>
            </w:pPr>
          </w:p>
        </w:tc>
      </w:tr>
      <w:tr w:rsidR="00DF2F69" w14:paraId="1277BF9D" w14:textId="77777777" w:rsidTr="00F96F2B">
        <w:tc>
          <w:tcPr>
            <w:tcW w:w="645" w:type="pct"/>
            <w:shd w:val="clear" w:color="auto" w:fill="E1E3F2"/>
          </w:tcPr>
          <w:p w14:paraId="6DED93A2" w14:textId="77777777" w:rsidR="00DF2F69" w:rsidRPr="00FC038C" w:rsidRDefault="00DF2F69" w:rsidP="00F96F2B">
            <w:pPr>
              <w:pStyle w:val="TabletextrowsAgency"/>
            </w:pPr>
            <w:r w:rsidRPr="00FC038C">
              <w:t>1. Introduction</w:t>
            </w:r>
            <w:r w:rsidRPr="00FC038C">
              <w:br/>
              <w:t>Par. 3, bullet 4</w:t>
            </w:r>
          </w:p>
        </w:tc>
        <w:tc>
          <w:tcPr>
            <w:tcW w:w="812" w:type="pct"/>
            <w:shd w:val="clear" w:color="auto" w:fill="E1E3F2"/>
          </w:tcPr>
          <w:p w14:paraId="4E4593C1" w14:textId="77777777" w:rsidR="00DF2F69" w:rsidRPr="00FC038C" w:rsidRDefault="00DF2F69" w:rsidP="00F96F2B">
            <w:pPr>
              <w:pStyle w:val="TabletextrowsAgency"/>
            </w:pPr>
          </w:p>
        </w:tc>
        <w:tc>
          <w:tcPr>
            <w:tcW w:w="2006" w:type="pct"/>
            <w:shd w:val="clear" w:color="auto" w:fill="E1E3F2"/>
          </w:tcPr>
          <w:p w14:paraId="5E422E26" w14:textId="77777777" w:rsidR="00DF2F69" w:rsidRPr="00FC038C" w:rsidRDefault="00DF2F69" w:rsidP="00760CD3">
            <w:pPr>
              <w:pStyle w:val="TabletextrowsAgency"/>
              <w:spacing w:line="240" w:lineRule="exact"/>
              <w:rPr>
                <w:b/>
              </w:rPr>
            </w:pPr>
            <w:r w:rsidRPr="00FC038C">
              <w:rPr>
                <w:b/>
              </w:rPr>
              <w:t xml:space="preserve">… </w:t>
            </w:r>
            <w:proofErr w:type="gramStart"/>
            <w:r w:rsidRPr="00DB20F7">
              <w:rPr>
                <w:b/>
              </w:rPr>
              <w:t>providing</w:t>
            </w:r>
            <w:proofErr w:type="gramEnd"/>
            <w:r w:rsidRPr="00FC038C">
              <w:rPr>
                <w:b/>
              </w:rPr>
              <w:t xml:space="preserve"> specific guidance for Qualified Persons to facilitate release batches of critical drug products…</w:t>
            </w:r>
          </w:p>
          <w:p w14:paraId="2BF15C3F" w14:textId="17581A2B" w:rsidR="00DF2F69" w:rsidRPr="002B28F5" w:rsidRDefault="00DF2F69" w:rsidP="00760CD3">
            <w:pPr>
              <w:pStyle w:val="Default"/>
              <w:spacing w:after="140" w:line="240" w:lineRule="exact"/>
              <w:rPr>
                <w:rFonts w:cs="Tahoma"/>
                <w:sz w:val="18"/>
                <w:szCs w:val="18"/>
              </w:rPr>
            </w:pPr>
            <w:r w:rsidRPr="002B28F5">
              <w:rPr>
                <w:sz w:val="18"/>
                <w:szCs w:val="18"/>
              </w:rPr>
              <w:t>Proposed change:</w:t>
            </w:r>
            <w:r w:rsidRPr="002B28F5">
              <w:rPr>
                <w:sz w:val="18"/>
                <w:szCs w:val="18"/>
              </w:rPr>
              <w:br/>
              <w:t>We understand there will be a concept paper and the opportunity for industry to comment, if this part is revised</w:t>
            </w:r>
            <w:r w:rsidR="001A5A45">
              <w:rPr>
                <w:sz w:val="18"/>
                <w:szCs w:val="18"/>
              </w:rPr>
              <w:t>.</w:t>
            </w:r>
          </w:p>
        </w:tc>
        <w:tc>
          <w:tcPr>
            <w:tcW w:w="1537" w:type="pct"/>
            <w:shd w:val="clear" w:color="auto" w:fill="E1E3F2"/>
          </w:tcPr>
          <w:p w14:paraId="656C9AB3" w14:textId="77777777" w:rsidR="00DF2F69" w:rsidRPr="00B32CCE" w:rsidRDefault="00DF2F69" w:rsidP="00F96F2B">
            <w:pPr>
              <w:pStyle w:val="TabletextrowsAgency"/>
              <w:rPr>
                <w:color w:val="000000"/>
              </w:rPr>
            </w:pPr>
          </w:p>
        </w:tc>
      </w:tr>
      <w:tr w:rsidR="00DF2F69" w14:paraId="3657EF6D" w14:textId="77777777" w:rsidTr="00F96F2B">
        <w:tc>
          <w:tcPr>
            <w:tcW w:w="645" w:type="pct"/>
            <w:shd w:val="clear" w:color="auto" w:fill="E1E3F2"/>
          </w:tcPr>
          <w:p w14:paraId="16FEA3CF" w14:textId="77777777" w:rsidR="00DF2F69" w:rsidRPr="00FC038C" w:rsidRDefault="00DF2F69" w:rsidP="00F96F2B">
            <w:pPr>
              <w:pStyle w:val="TabletextrowsAgency"/>
            </w:pPr>
            <w:r w:rsidRPr="00FC038C">
              <w:t>2. Consultation procedure</w:t>
            </w:r>
          </w:p>
        </w:tc>
        <w:tc>
          <w:tcPr>
            <w:tcW w:w="812" w:type="pct"/>
            <w:shd w:val="clear" w:color="auto" w:fill="E1E3F2"/>
          </w:tcPr>
          <w:p w14:paraId="41DEF166" w14:textId="77777777" w:rsidR="00DF2F69" w:rsidRPr="00FC038C" w:rsidRDefault="00DF2F69" w:rsidP="00F96F2B">
            <w:pPr>
              <w:pStyle w:val="TabletextrowsAgency"/>
            </w:pPr>
          </w:p>
        </w:tc>
        <w:tc>
          <w:tcPr>
            <w:tcW w:w="2006" w:type="pct"/>
            <w:shd w:val="clear" w:color="auto" w:fill="E1E3F2"/>
          </w:tcPr>
          <w:p w14:paraId="20DFAE8C" w14:textId="268070C9" w:rsidR="00DF2F69" w:rsidRPr="00FC038C" w:rsidRDefault="00DF2F69" w:rsidP="00760CD3">
            <w:pPr>
              <w:pStyle w:val="TabletextrowsAgency"/>
              <w:spacing w:line="240" w:lineRule="exact"/>
              <w:rPr>
                <w:b/>
              </w:rPr>
            </w:pPr>
            <w:r w:rsidRPr="00FC038C">
              <w:rPr>
                <w:b/>
              </w:rPr>
              <w:t xml:space="preserve">… </w:t>
            </w:r>
            <w:proofErr w:type="gramStart"/>
            <w:r w:rsidR="00F96F2B" w:rsidRPr="00DB20F7">
              <w:rPr>
                <w:b/>
              </w:rPr>
              <w:t>effective</w:t>
            </w:r>
            <w:proofErr w:type="gramEnd"/>
            <w:r w:rsidRPr="00FC038C">
              <w:rPr>
                <w:b/>
              </w:rPr>
              <w:t xml:space="preserve"> and harmonised risk-based approach for dealing with the supply of critical medicines in case of serious GMP non-compliance…</w:t>
            </w:r>
          </w:p>
          <w:p w14:paraId="4037F831" w14:textId="29F091A1" w:rsidR="00DF2F69" w:rsidRPr="00FC038C" w:rsidRDefault="00DF2F69" w:rsidP="00760CD3">
            <w:pPr>
              <w:pStyle w:val="TabletextrowsAgency"/>
              <w:spacing w:line="240" w:lineRule="exact"/>
            </w:pPr>
            <w:r w:rsidRPr="00FC038C">
              <w:t>Proposed change:</w:t>
            </w:r>
            <w:r w:rsidRPr="00FC038C">
              <w:br/>
              <w:t>There is the opportunity to also mention and consider supplementary measures from EMA and MS HA to facilitate / speed-up the risk / situation of shortage (e.g. fast track variation for registering a new API manufacturer)</w:t>
            </w:r>
            <w:r w:rsidR="001A5A45">
              <w:t>.</w:t>
            </w:r>
          </w:p>
        </w:tc>
        <w:tc>
          <w:tcPr>
            <w:tcW w:w="1537" w:type="pct"/>
            <w:shd w:val="clear" w:color="auto" w:fill="E1E3F2"/>
          </w:tcPr>
          <w:p w14:paraId="3E3946A5" w14:textId="77777777" w:rsidR="00DF2F69" w:rsidRPr="00B32CCE" w:rsidRDefault="00DF2F69" w:rsidP="00F96F2B">
            <w:pPr>
              <w:pStyle w:val="TabletextrowsAgency"/>
              <w:rPr>
                <w:color w:val="000000"/>
              </w:rPr>
            </w:pPr>
          </w:p>
        </w:tc>
      </w:tr>
      <w:tr w:rsidR="00DF2F69" w14:paraId="7DE9CF02" w14:textId="77777777" w:rsidTr="00F96F2B">
        <w:tc>
          <w:tcPr>
            <w:tcW w:w="645" w:type="pct"/>
            <w:shd w:val="clear" w:color="auto" w:fill="E1E3F2"/>
          </w:tcPr>
          <w:p w14:paraId="6688E703" w14:textId="77777777" w:rsidR="00DF2F69" w:rsidRPr="00FC038C" w:rsidRDefault="00DF2F69" w:rsidP="00F96F2B">
            <w:r w:rsidRPr="00FC038C">
              <w:t>Statement, part I; 2</w:t>
            </w:r>
            <w:r w:rsidRPr="00FC038C">
              <w:rPr>
                <w:vertAlign w:val="superscript"/>
              </w:rPr>
              <w:t>nd</w:t>
            </w:r>
            <w:r w:rsidRPr="00FC038C">
              <w:t xml:space="preserve"> paragraph</w:t>
            </w:r>
          </w:p>
        </w:tc>
        <w:tc>
          <w:tcPr>
            <w:tcW w:w="812" w:type="pct"/>
            <w:shd w:val="clear" w:color="auto" w:fill="E1E3F2"/>
          </w:tcPr>
          <w:p w14:paraId="2D1343B2" w14:textId="77777777" w:rsidR="00DF2F69" w:rsidRPr="00FC038C" w:rsidRDefault="00DF2F69" w:rsidP="00F96F2B">
            <w:pPr>
              <w:pStyle w:val="TabletextrowsAgency"/>
            </w:pPr>
          </w:p>
        </w:tc>
        <w:tc>
          <w:tcPr>
            <w:tcW w:w="2006" w:type="pct"/>
            <w:shd w:val="clear" w:color="auto" w:fill="E1E3F2"/>
          </w:tcPr>
          <w:p w14:paraId="5718C2D4" w14:textId="1203D740" w:rsidR="00DF2F69" w:rsidRPr="00FC038C" w:rsidRDefault="00DF2F69" w:rsidP="00760CD3">
            <w:pPr>
              <w:pStyle w:val="TabletextrowsAgency"/>
              <w:spacing w:line="240" w:lineRule="exact"/>
              <w:rPr>
                <w:color w:val="000000"/>
              </w:rPr>
            </w:pPr>
            <w:r w:rsidRPr="00FC038C">
              <w:t>Comment:</w:t>
            </w:r>
            <w:r w:rsidRPr="00FC038C">
              <w:br/>
            </w:r>
            <w:r w:rsidRPr="00FC038C">
              <w:rPr>
                <w:color w:val="000000"/>
                <w:lang w:val="en-US"/>
              </w:rPr>
              <w:t xml:space="preserve">It is important to clarify the nature of the risk assessment required. </w:t>
            </w:r>
            <w:r w:rsidR="006E3B72" w:rsidRPr="00FC038C">
              <w:t xml:space="preserve">We recommend </w:t>
            </w:r>
            <w:proofErr w:type="gramStart"/>
            <w:r w:rsidR="00F96F2B">
              <w:t>to add</w:t>
            </w:r>
            <w:proofErr w:type="gramEnd"/>
            <w:r w:rsidRPr="00FC038C">
              <w:t xml:space="preserve"> a reference to the risk question ‘manufacturing process’. </w:t>
            </w:r>
            <w:r w:rsidRPr="00FC038C">
              <w:rPr>
                <w:color w:val="000000"/>
              </w:rPr>
              <w:t>However medical risk Assessment may also be included, as appropriate.</w:t>
            </w:r>
          </w:p>
          <w:p w14:paraId="6BF71D93" w14:textId="77777777" w:rsidR="00DF2F69" w:rsidRPr="00FC038C" w:rsidRDefault="00DF2F69" w:rsidP="00760CD3">
            <w:pPr>
              <w:pStyle w:val="TabletextrowsAgency"/>
              <w:spacing w:line="240" w:lineRule="exact"/>
              <w:rPr>
                <w:i/>
              </w:rPr>
            </w:pPr>
            <w:r w:rsidRPr="00FC038C">
              <w:t>Proposed change:</w:t>
            </w:r>
            <w:r w:rsidRPr="00FC038C">
              <w:br/>
              <w:t xml:space="preserve"> </w:t>
            </w:r>
            <w:r w:rsidRPr="00FC038C">
              <w:rPr>
                <w:b/>
                <w:i/>
              </w:rPr>
              <w:t>‘</w:t>
            </w:r>
            <w:r w:rsidRPr="00FC038C">
              <w:rPr>
                <w:i/>
              </w:rPr>
              <w:t xml:space="preserve">A documented risk assessment </w:t>
            </w:r>
            <w:r w:rsidRPr="00FC038C">
              <w:rPr>
                <w:b/>
                <w:i/>
              </w:rPr>
              <w:t>(e.g. manufacturing process risk and/or medical risk as appropriate)</w:t>
            </w:r>
            <w:r w:rsidRPr="00FC038C">
              <w:rPr>
                <w:i/>
              </w:rPr>
              <w:t xml:space="preserve"> has been performed by, …’</w:t>
            </w:r>
          </w:p>
        </w:tc>
        <w:tc>
          <w:tcPr>
            <w:tcW w:w="1537" w:type="pct"/>
            <w:shd w:val="clear" w:color="auto" w:fill="E1E3F2"/>
          </w:tcPr>
          <w:p w14:paraId="02367316" w14:textId="77777777" w:rsidR="00DF2F69" w:rsidRPr="00B32CCE" w:rsidRDefault="00DF2F69" w:rsidP="00F96F2B">
            <w:pPr>
              <w:pStyle w:val="TabletextrowsAgency"/>
              <w:rPr>
                <w:color w:val="000000"/>
              </w:rPr>
            </w:pPr>
          </w:p>
        </w:tc>
      </w:tr>
      <w:tr w:rsidR="00DF2F69" w14:paraId="4E5FFDAB" w14:textId="77777777" w:rsidTr="00F96F2B">
        <w:tc>
          <w:tcPr>
            <w:tcW w:w="645" w:type="pct"/>
            <w:shd w:val="clear" w:color="auto" w:fill="E1E3F2"/>
          </w:tcPr>
          <w:p w14:paraId="0DB76C87" w14:textId="77777777" w:rsidR="00DF2F69" w:rsidRPr="00FC038C" w:rsidRDefault="00DF2F69" w:rsidP="00F96F2B">
            <w:pPr>
              <w:pStyle w:val="TabletextrowsAgency"/>
            </w:pPr>
            <w:r w:rsidRPr="00FC038C">
              <w:t>Statement, part I</w:t>
            </w:r>
            <w:r w:rsidRPr="00FC038C">
              <w:br/>
              <w:t>2</w:t>
            </w:r>
            <w:r w:rsidRPr="00FC038C">
              <w:rPr>
                <w:vertAlign w:val="superscript"/>
              </w:rPr>
              <w:t>nd</w:t>
            </w:r>
            <w:r w:rsidRPr="00FC038C">
              <w:t xml:space="preserve"> paragraph</w:t>
            </w:r>
          </w:p>
        </w:tc>
        <w:tc>
          <w:tcPr>
            <w:tcW w:w="812" w:type="pct"/>
            <w:shd w:val="clear" w:color="auto" w:fill="E1E3F2"/>
          </w:tcPr>
          <w:p w14:paraId="50CB37B5" w14:textId="77777777" w:rsidR="00DF2F69" w:rsidRPr="00FC038C" w:rsidRDefault="00DF2F69" w:rsidP="00F96F2B">
            <w:pPr>
              <w:pStyle w:val="TabletextrowsAgency"/>
            </w:pPr>
          </w:p>
        </w:tc>
        <w:tc>
          <w:tcPr>
            <w:tcW w:w="2006" w:type="pct"/>
            <w:shd w:val="clear" w:color="auto" w:fill="E1E3F2"/>
          </w:tcPr>
          <w:p w14:paraId="1F24EB3B" w14:textId="77777777" w:rsidR="00DF2F69" w:rsidRPr="00FC038C" w:rsidRDefault="00DF2F69" w:rsidP="00760CD3">
            <w:pPr>
              <w:pStyle w:val="TabletextrowsAgency"/>
              <w:spacing w:line="240" w:lineRule="exact"/>
            </w:pPr>
            <w:r w:rsidRPr="00FC038C">
              <w:t>Comment:</w:t>
            </w:r>
            <w:r w:rsidRPr="00FC038C">
              <w:br/>
              <w:t>The “Statement of Non-Compliance with GMP” is a mechanism for the exchange of information between National Competent Authorities of the EEA. With complex global supply chains there may be impact on the supply of critical medicines from the manufacturer to non-EEA countries.</w:t>
            </w:r>
          </w:p>
          <w:p w14:paraId="6660ED0E" w14:textId="79FC439D" w:rsidR="00DF2F69" w:rsidRPr="00FC038C" w:rsidRDefault="00FA5D79" w:rsidP="00760CD3">
            <w:pPr>
              <w:pStyle w:val="TabletextrowsAgency"/>
              <w:spacing w:line="240" w:lineRule="exact"/>
              <w:rPr>
                <w:lang w:val="en-IE"/>
              </w:rPr>
            </w:pPr>
            <w:r>
              <w:rPr>
                <w:lang w:val="en-IE"/>
              </w:rPr>
              <w:t>Proposed change:</w:t>
            </w:r>
            <w:r>
              <w:rPr>
                <w:lang w:val="en-IE"/>
              </w:rPr>
              <w:br/>
              <w:t>T</w:t>
            </w:r>
            <w:r w:rsidR="00DF2F69" w:rsidRPr="00FC038C">
              <w:rPr>
                <w:lang w:val="en-IE"/>
              </w:rPr>
              <w:t>o avoid interruption of supply of critical medicines, add a second note.</w:t>
            </w:r>
          </w:p>
          <w:p w14:paraId="2F731BE3" w14:textId="77777777" w:rsidR="00DF2F69" w:rsidRPr="00FC038C" w:rsidRDefault="00DF2F69" w:rsidP="00760CD3">
            <w:pPr>
              <w:pStyle w:val="TabletextrowsAgency"/>
              <w:spacing w:line="240" w:lineRule="exact"/>
            </w:pPr>
            <w:r w:rsidRPr="00FC038C">
              <w:rPr>
                <w:i/>
                <w:lang w:val="en-IE"/>
              </w:rPr>
              <w:t>Note to issuing authorities: If the statement is shared with non-EEA authorities, the Manufacturing Authorisation Holder should be informed to facilitate a conversation regarding impact and critical supply in non-EEA markets.</w:t>
            </w:r>
          </w:p>
        </w:tc>
        <w:tc>
          <w:tcPr>
            <w:tcW w:w="1537" w:type="pct"/>
            <w:shd w:val="clear" w:color="auto" w:fill="E1E3F2"/>
          </w:tcPr>
          <w:p w14:paraId="6E019938" w14:textId="77777777" w:rsidR="00DF2F69" w:rsidRPr="00B32CCE" w:rsidRDefault="00DF2F69" w:rsidP="00F96F2B">
            <w:pPr>
              <w:pStyle w:val="TabletextrowsAgency"/>
              <w:rPr>
                <w:b/>
                <w:color w:val="000000"/>
                <w:sz w:val="22"/>
              </w:rPr>
            </w:pPr>
          </w:p>
        </w:tc>
      </w:tr>
      <w:tr w:rsidR="00DF2F69" w14:paraId="2BDADA35" w14:textId="77777777" w:rsidTr="00F96F2B">
        <w:tc>
          <w:tcPr>
            <w:tcW w:w="645" w:type="pct"/>
            <w:shd w:val="clear" w:color="auto" w:fill="E1E3F2"/>
          </w:tcPr>
          <w:p w14:paraId="53935A91" w14:textId="77777777" w:rsidR="00DF2F69" w:rsidRPr="00FC038C" w:rsidRDefault="00DF2F69" w:rsidP="00F96F2B">
            <w:pPr>
              <w:pStyle w:val="TabletextrowsAgency"/>
            </w:pPr>
            <w:r w:rsidRPr="00FC038C">
              <w:t>Statement, part I</w:t>
            </w:r>
            <w:r w:rsidRPr="00FC038C">
              <w:br/>
              <w:t>2</w:t>
            </w:r>
            <w:r w:rsidRPr="00FC038C">
              <w:rPr>
                <w:vertAlign w:val="superscript"/>
              </w:rPr>
              <w:t>nd</w:t>
            </w:r>
            <w:r w:rsidRPr="00FC038C">
              <w:t xml:space="preserve"> paragraph</w:t>
            </w:r>
          </w:p>
        </w:tc>
        <w:tc>
          <w:tcPr>
            <w:tcW w:w="812" w:type="pct"/>
            <w:shd w:val="clear" w:color="auto" w:fill="E1E3F2"/>
          </w:tcPr>
          <w:p w14:paraId="57065786" w14:textId="77777777" w:rsidR="00DF2F69" w:rsidRPr="00FC038C" w:rsidRDefault="00DF2F69" w:rsidP="00F96F2B">
            <w:pPr>
              <w:pStyle w:val="TabletextrowsAgency"/>
            </w:pPr>
          </w:p>
        </w:tc>
        <w:tc>
          <w:tcPr>
            <w:tcW w:w="2006" w:type="pct"/>
            <w:shd w:val="clear" w:color="auto" w:fill="E1E3F2"/>
          </w:tcPr>
          <w:p w14:paraId="29588A45" w14:textId="77777777" w:rsidR="00DF2F69" w:rsidRPr="00FC038C" w:rsidRDefault="00DF2F69" w:rsidP="00760CD3">
            <w:pPr>
              <w:pStyle w:val="TabletextrowsAgency"/>
              <w:spacing w:line="240" w:lineRule="exact"/>
            </w:pPr>
            <w:r w:rsidRPr="00FC038C">
              <w:t>Comment:</w:t>
            </w:r>
            <w:r w:rsidRPr="00FC038C">
              <w:br/>
              <w:t>The receiving authorities shall contact the issuing authority within ‘</w:t>
            </w:r>
            <w:r w:rsidRPr="00FC038C">
              <w:rPr>
                <w:b/>
              </w:rPr>
              <w:t>20 working days’</w:t>
            </w:r>
            <w:r w:rsidRPr="00FC038C">
              <w:t xml:space="preserve"> in case there are critical medicinal products potentially affected by this statement.</w:t>
            </w:r>
            <w:r w:rsidRPr="00FC038C">
              <w:br/>
              <w:t>Proposed change:</w:t>
            </w:r>
            <w:r w:rsidRPr="00FC038C">
              <w:br/>
              <w:t xml:space="preserve">We recommend to change to </w:t>
            </w:r>
            <w:r w:rsidRPr="00FC038C">
              <w:rPr>
                <w:b/>
              </w:rPr>
              <w:t>30 calendar days</w:t>
            </w:r>
            <w:r w:rsidRPr="00FC038C">
              <w:t xml:space="preserve"> as working days are different per member state due to various bank holidays.</w:t>
            </w:r>
          </w:p>
        </w:tc>
        <w:tc>
          <w:tcPr>
            <w:tcW w:w="1537" w:type="pct"/>
            <w:shd w:val="clear" w:color="auto" w:fill="E1E3F2"/>
          </w:tcPr>
          <w:p w14:paraId="44BD43B2" w14:textId="77777777" w:rsidR="00DF2F69" w:rsidRPr="00B32CCE" w:rsidRDefault="00DF2F69" w:rsidP="00F96F2B">
            <w:pPr>
              <w:pStyle w:val="TabletextrowsAgency"/>
              <w:rPr>
                <w:b/>
                <w:color w:val="000000"/>
              </w:rPr>
            </w:pPr>
          </w:p>
        </w:tc>
      </w:tr>
      <w:tr w:rsidR="00DF2F69" w14:paraId="000D6F60" w14:textId="77777777" w:rsidTr="00F96F2B">
        <w:tc>
          <w:tcPr>
            <w:tcW w:w="645" w:type="pct"/>
            <w:shd w:val="clear" w:color="auto" w:fill="E1E3F2"/>
          </w:tcPr>
          <w:p w14:paraId="05F1F53B" w14:textId="77777777" w:rsidR="00DF2F69" w:rsidRPr="00FC038C" w:rsidRDefault="00DF2F69" w:rsidP="00F96F2B">
            <w:pPr>
              <w:pStyle w:val="TabletextrowsAgency"/>
            </w:pPr>
            <w:r w:rsidRPr="00FC038C">
              <w:t>Statement, part I</w:t>
            </w:r>
            <w:r w:rsidRPr="00FC038C">
              <w:br/>
              <w:t>4</w:t>
            </w:r>
            <w:r w:rsidRPr="00FC038C">
              <w:rPr>
                <w:vertAlign w:val="superscript"/>
              </w:rPr>
              <w:t>th</w:t>
            </w:r>
            <w:r w:rsidRPr="00FC038C">
              <w:t xml:space="preserve"> paragraph</w:t>
            </w:r>
          </w:p>
        </w:tc>
        <w:tc>
          <w:tcPr>
            <w:tcW w:w="812" w:type="pct"/>
            <w:shd w:val="clear" w:color="auto" w:fill="E1E3F2"/>
          </w:tcPr>
          <w:p w14:paraId="2E5980F9" w14:textId="77777777" w:rsidR="00DF2F69" w:rsidRPr="00FC038C" w:rsidRDefault="00DF2F69" w:rsidP="00F96F2B">
            <w:pPr>
              <w:pStyle w:val="TabletextrowsAgency"/>
            </w:pPr>
          </w:p>
        </w:tc>
        <w:tc>
          <w:tcPr>
            <w:tcW w:w="2006" w:type="pct"/>
            <w:shd w:val="clear" w:color="auto" w:fill="E1E3F2"/>
          </w:tcPr>
          <w:p w14:paraId="3AB58E33" w14:textId="77777777" w:rsidR="00DF2F69" w:rsidRPr="00FC038C" w:rsidRDefault="00DF2F69" w:rsidP="00760CD3">
            <w:pPr>
              <w:pStyle w:val="TabletextrowsAgency"/>
              <w:spacing w:line="240" w:lineRule="exact"/>
            </w:pPr>
            <w:r w:rsidRPr="00FC038C">
              <w:t>Comment:</w:t>
            </w:r>
          </w:p>
          <w:p w14:paraId="621D07C7" w14:textId="77777777" w:rsidR="00DF2F69" w:rsidRPr="00FC038C" w:rsidRDefault="00DF2F69" w:rsidP="00760CD3">
            <w:pPr>
              <w:pStyle w:val="TabletextrowsAgency"/>
              <w:spacing w:line="240" w:lineRule="exact"/>
            </w:pPr>
            <w:r w:rsidRPr="00FC038C">
              <w:t>Companies could have a QP structure and not only one QP, and therefore it is important to be more precise.</w:t>
            </w:r>
          </w:p>
          <w:p w14:paraId="0EC0418D" w14:textId="77777777" w:rsidR="00DF2F69" w:rsidRPr="00FC038C" w:rsidRDefault="00DF2F69" w:rsidP="00760CD3">
            <w:pPr>
              <w:pStyle w:val="TabletextrowsAgency"/>
              <w:spacing w:line="240" w:lineRule="exact"/>
            </w:pPr>
            <w:r w:rsidRPr="00FC038C">
              <w:t>Proposed change:</w:t>
            </w:r>
            <w:r w:rsidRPr="00FC038C">
              <w:br/>
              <w:t xml:space="preserve">In exceptional circumstances there may be no objection to the Qualified Person </w:t>
            </w:r>
            <w:r w:rsidRPr="00FC038C">
              <w:rPr>
                <w:b/>
              </w:rPr>
              <w:t xml:space="preserve">in the scope of the non-compliance statement </w:t>
            </w:r>
            <w:r w:rsidRPr="00FC038C">
              <w:t>certifying affected batches thereby allowing their release provided all of the following conditions are fulfilled</w:t>
            </w:r>
            <w:r w:rsidR="006E3B72" w:rsidRPr="00FC038C">
              <w:t>.</w:t>
            </w:r>
          </w:p>
        </w:tc>
        <w:tc>
          <w:tcPr>
            <w:tcW w:w="1537" w:type="pct"/>
            <w:shd w:val="clear" w:color="auto" w:fill="E1E3F2"/>
          </w:tcPr>
          <w:p w14:paraId="009F730D" w14:textId="77777777" w:rsidR="00DF2F69" w:rsidRPr="00B32CCE" w:rsidRDefault="00DF2F69" w:rsidP="00F96F2B">
            <w:pPr>
              <w:pStyle w:val="TabletextrowsAgency"/>
              <w:rPr>
                <w:b/>
                <w:color w:val="000000"/>
                <w:sz w:val="22"/>
              </w:rPr>
            </w:pPr>
          </w:p>
        </w:tc>
      </w:tr>
      <w:tr w:rsidR="00DF2F69" w14:paraId="0E2ECA49" w14:textId="77777777" w:rsidTr="00F96F2B">
        <w:tc>
          <w:tcPr>
            <w:tcW w:w="645" w:type="pct"/>
            <w:shd w:val="clear" w:color="auto" w:fill="E1E3F2"/>
          </w:tcPr>
          <w:p w14:paraId="1E766B74" w14:textId="77777777" w:rsidR="00DF2F69" w:rsidRPr="00FC038C" w:rsidRDefault="00DF2F69" w:rsidP="00F96F2B">
            <w:pPr>
              <w:pStyle w:val="TabletextrowsAgency"/>
            </w:pPr>
            <w:r w:rsidRPr="00FC038C">
              <w:t>Statement, part I</w:t>
            </w:r>
            <w:r w:rsidRPr="00FC038C">
              <w:br/>
              <w:t>4</w:t>
            </w:r>
            <w:r w:rsidRPr="00FC038C">
              <w:rPr>
                <w:vertAlign w:val="superscript"/>
              </w:rPr>
              <w:t>th</w:t>
            </w:r>
            <w:r w:rsidRPr="00FC038C">
              <w:t xml:space="preserve"> paragraph ff</w:t>
            </w:r>
          </w:p>
        </w:tc>
        <w:tc>
          <w:tcPr>
            <w:tcW w:w="812" w:type="pct"/>
            <w:shd w:val="clear" w:color="auto" w:fill="E1E3F2"/>
          </w:tcPr>
          <w:p w14:paraId="4004FB3F" w14:textId="77777777" w:rsidR="00DF2F69" w:rsidRPr="00FC038C" w:rsidRDefault="00DF2F69" w:rsidP="00F96F2B">
            <w:pPr>
              <w:pStyle w:val="TabletextrowsAgency"/>
            </w:pPr>
          </w:p>
        </w:tc>
        <w:tc>
          <w:tcPr>
            <w:tcW w:w="2006" w:type="pct"/>
            <w:shd w:val="clear" w:color="auto" w:fill="E1E3F2"/>
          </w:tcPr>
          <w:p w14:paraId="1A2772CC" w14:textId="77777777" w:rsidR="00DF2F69" w:rsidRPr="00FC038C" w:rsidRDefault="00DF2F69" w:rsidP="00760CD3">
            <w:pPr>
              <w:pStyle w:val="TabletextrowsAgency"/>
              <w:spacing w:line="240" w:lineRule="exact"/>
            </w:pPr>
            <w:r w:rsidRPr="00FC038C">
              <w:t>Comment:</w:t>
            </w:r>
            <w:r w:rsidRPr="00FC038C">
              <w:br/>
              <w:t xml:space="preserve">Since the conditions, for the Qualified Person to be able to release batches in exceptional circumstances, are critical for the correct behaviour, it is suggested to make a visual end-to-end representation (e.g. flow chart) of the required conditions and steps to be followed. It is believed that such a representation will increase understand ability. </w:t>
            </w:r>
          </w:p>
          <w:p w14:paraId="1129DA92" w14:textId="77777777" w:rsidR="00DB20F7" w:rsidRDefault="00DB20F7" w:rsidP="00760CD3">
            <w:pPr>
              <w:pStyle w:val="TabletextrowsAgency"/>
              <w:spacing w:line="240" w:lineRule="exact"/>
            </w:pPr>
          </w:p>
          <w:p w14:paraId="1F079EF7" w14:textId="77777777" w:rsidR="00DF2F69" w:rsidRPr="00FC038C" w:rsidRDefault="00DF2F69" w:rsidP="00760CD3">
            <w:pPr>
              <w:pStyle w:val="TabletextrowsAgency"/>
              <w:spacing w:line="240" w:lineRule="exact"/>
            </w:pPr>
            <w:r w:rsidRPr="00FC038C">
              <w:t>Proposed process to add a short flow chart:</w:t>
            </w:r>
          </w:p>
          <w:p w14:paraId="026A2680" w14:textId="547279B9" w:rsidR="00DF2F69" w:rsidRPr="00FC038C" w:rsidRDefault="00DF2F69" w:rsidP="00760CD3">
            <w:pPr>
              <w:pStyle w:val="TabletextrowsAgency"/>
              <w:spacing w:line="240" w:lineRule="exact"/>
            </w:pPr>
            <w:r w:rsidRPr="00FC038C">
              <w:t>QP for scop</w:t>
            </w:r>
            <w:r w:rsidR="00724693">
              <w:t xml:space="preserve">e of non-compliance statement </w:t>
            </w:r>
            <w:r w:rsidRPr="00FC038C">
              <w:t>Risk assessment (conditions 1-3) -&gt;</w:t>
            </w:r>
          </w:p>
          <w:p w14:paraId="3D53BBE4" w14:textId="77777777" w:rsidR="00DF2F69" w:rsidRPr="00FC038C" w:rsidRDefault="00DF2F69" w:rsidP="00760CD3">
            <w:pPr>
              <w:pStyle w:val="TabletextrowsAgency"/>
              <w:spacing w:line="240" w:lineRule="exact"/>
            </w:pPr>
            <w:r w:rsidRPr="00FC038C">
              <w:t>National competent authorities (condition 4) -&gt;</w:t>
            </w:r>
          </w:p>
          <w:p w14:paraId="505BE6EE" w14:textId="77777777" w:rsidR="00DF2F69" w:rsidRPr="00FC038C" w:rsidRDefault="00DF2F69" w:rsidP="00760CD3">
            <w:pPr>
              <w:pStyle w:val="TabletextrowsAgency"/>
              <w:spacing w:line="240" w:lineRule="exact"/>
            </w:pPr>
            <w:r w:rsidRPr="00FC038C">
              <w:t>Supervisory authority (condition 5) -&gt;</w:t>
            </w:r>
          </w:p>
          <w:p w14:paraId="70B725C7" w14:textId="77777777" w:rsidR="00DF2F69" w:rsidRPr="00FC038C" w:rsidRDefault="00DF2F69" w:rsidP="00760CD3">
            <w:pPr>
              <w:pStyle w:val="TabletextrowsAgency"/>
              <w:spacing w:line="240" w:lineRule="exact"/>
            </w:pPr>
            <w:r w:rsidRPr="00FC038C">
              <w:t>Affected marketing authorisation (condition 6) -&gt;</w:t>
            </w:r>
          </w:p>
          <w:p w14:paraId="3D314405" w14:textId="77777777" w:rsidR="00DF2F69" w:rsidRPr="00FC038C" w:rsidRDefault="00DF2F69" w:rsidP="00760CD3">
            <w:pPr>
              <w:pStyle w:val="TabletextrowsAgency"/>
              <w:spacing w:line="240" w:lineRule="exact"/>
            </w:pPr>
            <w:r w:rsidRPr="00FC038C">
              <w:t>Further conditions and conclusions (condition 7) -&gt;</w:t>
            </w:r>
          </w:p>
          <w:p w14:paraId="260B500E" w14:textId="77777777" w:rsidR="00DF2F69" w:rsidRPr="00FC038C" w:rsidRDefault="00DF2F69" w:rsidP="00760CD3">
            <w:pPr>
              <w:pStyle w:val="TabletextrowsAgency"/>
              <w:spacing w:line="240" w:lineRule="exact"/>
            </w:pPr>
            <w:r w:rsidRPr="00FC038C">
              <w:t>Feedback form to the manufacturer (condition 8)</w:t>
            </w:r>
          </w:p>
        </w:tc>
        <w:tc>
          <w:tcPr>
            <w:tcW w:w="1537" w:type="pct"/>
            <w:shd w:val="clear" w:color="auto" w:fill="E1E3F2"/>
          </w:tcPr>
          <w:p w14:paraId="1B0AF391" w14:textId="77777777" w:rsidR="00DF2F69" w:rsidRPr="00B32CCE" w:rsidRDefault="00DF2F69" w:rsidP="00F96F2B">
            <w:pPr>
              <w:pStyle w:val="TabletextrowsAgency"/>
              <w:rPr>
                <w:color w:val="000000"/>
              </w:rPr>
            </w:pPr>
          </w:p>
        </w:tc>
      </w:tr>
      <w:tr w:rsidR="00DF2F69" w14:paraId="4C27BCF0" w14:textId="77777777" w:rsidTr="00F96F2B">
        <w:tc>
          <w:tcPr>
            <w:tcW w:w="645" w:type="pct"/>
            <w:shd w:val="clear" w:color="auto" w:fill="E1E3F2"/>
          </w:tcPr>
          <w:p w14:paraId="3413065F" w14:textId="77777777" w:rsidR="00DF2F69" w:rsidRPr="00FC038C" w:rsidRDefault="00DF2F69" w:rsidP="00F96F2B">
            <w:pPr>
              <w:pStyle w:val="TabletextrowsAgency"/>
            </w:pPr>
            <w:r w:rsidRPr="00FC038C">
              <w:t>Statement, part I</w:t>
            </w:r>
            <w:r w:rsidRPr="00FC038C">
              <w:br/>
              <w:t>4</w:t>
            </w:r>
            <w:r w:rsidRPr="00FC038C">
              <w:rPr>
                <w:vertAlign w:val="superscript"/>
              </w:rPr>
              <w:t>th</w:t>
            </w:r>
            <w:r w:rsidRPr="00FC038C">
              <w:t xml:space="preserve"> paragraph ff</w:t>
            </w:r>
          </w:p>
        </w:tc>
        <w:tc>
          <w:tcPr>
            <w:tcW w:w="812" w:type="pct"/>
            <w:shd w:val="clear" w:color="auto" w:fill="E1E3F2"/>
          </w:tcPr>
          <w:p w14:paraId="58E838A9" w14:textId="77777777" w:rsidR="00DF2F69" w:rsidRPr="00FC038C" w:rsidRDefault="00DF2F69" w:rsidP="00F96F2B">
            <w:pPr>
              <w:pStyle w:val="TabletextrowsAgency"/>
            </w:pPr>
          </w:p>
        </w:tc>
        <w:tc>
          <w:tcPr>
            <w:tcW w:w="2006" w:type="pct"/>
            <w:shd w:val="clear" w:color="auto" w:fill="E1E3F2"/>
          </w:tcPr>
          <w:p w14:paraId="5FD2968A" w14:textId="77777777" w:rsidR="00DF2F69" w:rsidRPr="00FC038C" w:rsidRDefault="00DF2F69" w:rsidP="00760CD3">
            <w:pPr>
              <w:pStyle w:val="TabletextrowsAgency"/>
              <w:spacing w:line="240" w:lineRule="exact"/>
            </w:pPr>
            <w:r w:rsidRPr="00FC038C">
              <w:t>Comment:</w:t>
            </w:r>
            <w:r w:rsidRPr="00FC038C">
              <w:br/>
              <w:t>The form to sign contains a lot of details. We suggest to move the 4</w:t>
            </w:r>
            <w:r w:rsidRPr="00FC038C">
              <w:rPr>
                <w:vertAlign w:val="superscript"/>
              </w:rPr>
              <w:t>th</w:t>
            </w:r>
            <w:r w:rsidRPr="00FC038C">
              <w:t xml:space="preserve"> paragraph include</w:t>
            </w:r>
            <w:r w:rsidR="006E3B72" w:rsidRPr="00FC038C">
              <w:t>d in</w:t>
            </w:r>
            <w:r w:rsidRPr="00FC038C">
              <w:t xml:space="preserve"> the listing of the seven bullets of the ‘background’ part. This would make the form simpler. </w:t>
            </w:r>
          </w:p>
          <w:p w14:paraId="2CE62299" w14:textId="77777777" w:rsidR="00DF2F69" w:rsidRPr="00FC038C" w:rsidRDefault="00DF2F69" w:rsidP="00760CD3">
            <w:pPr>
              <w:pStyle w:val="TabletextrowsAgency"/>
              <w:spacing w:line="240" w:lineRule="exact"/>
            </w:pPr>
            <w:r w:rsidRPr="00FC038C">
              <w:t xml:space="preserve">Proposed change: e.g., </w:t>
            </w:r>
          </w:p>
          <w:p w14:paraId="13CA01BB" w14:textId="77777777" w:rsidR="00DF2F69" w:rsidRPr="00FC038C" w:rsidRDefault="00DF2F69" w:rsidP="00760CD3">
            <w:pPr>
              <w:pStyle w:val="TabletextrowsAgency"/>
              <w:spacing w:line="240" w:lineRule="exact"/>
              <w:rPr>
                <w:i/>
                <w:color w:val="000000"/>
              </w:rPr>
            </w:pPr>
            <w:r w:rsidRPr="00FC038C">
              <w:rPr>
                <w:i/>
                <w:color w:val="000000"/>
              </w:rPr>
              <w:t>This GMP non-compliance statement would by default result in the suspension or revocation of the relevant Manufacturing Authorization, or in the case of importation into EU, in the ban of product importation, by the Supervisory Authority.</w:t>
            </w:r>
          </w:p>
          <w:p w14:paraId="47B1149C" w14:textId="77777777" w:rsidR="00DF2F69" w:rsidRPr="00FC038C" w:rsidRDefault="00DF2F69" w:rsidP="00760CD3">
            <w:pPr>
              <w:pStyle w:val="TableheadingrowsAgency"/>
              <w:spacing w:line="240" w:lineRule="exact"/>
              <w:rPr>
                <w:b w:val="0"/>
              </w:rPr>
            </w:pPr>
            <w:r w:rsidRPr="00FC038C">
              <w:rPr>
                <w:b w:val="0"/>
                <w:i/>
                <w:color w:val="000000"/>
              </w:rPr>
              <w:t>In exceptional circumstances, for critical medicinal products, the relevant Marketing Authorization Holder(s) and their QP(s) might apply for the maintenance of the Marketing Authorization that would allow the QP(s) to perform batch certification in order to maintain the supply of critical medicinal products only. Please refer to the relevant procedure in the CoCP for the conditions to fulfil.’</w:t>
            </w:r>
          </w:p>
        </w:tc>
        <w:tc>
          <w:tcPr>
            <w:tcW w:w="1537" w:type="pct"/>
            <w:shd w:val="clear" w:color="auto" w:fill="E1E3F2"/>
          </w:tcPr>
          <w:p w14:paraId="6F708EEB" w14:textId="77777777" w:rsidR="00DF2F69" w:rsidRPr="00B32CCE" w:rsidRDefault="00DF2F69" w:rsidP="00F96F2B">
            <w:pPr>
              <w:pStyle w:val="TabletextrowsAgency"/>
              <w:rPr>
                <w:color w:val="000000"/>
              </w:rPr>
            </w:pPr>
          </w:p>
        </w:tc>
      </w:tr>
      <w:tr w:rsidR="00DF2F69" w14:paraId="70842C37" w14:textId="77777777" w:rsidTr="00F96F2B">
        <w:tc>
          <w:tcPr>
            <w:tcW w:w="645" w:type="pct"/>
            <w:shd w:val="clear" w:color="auto" w:fill="E1E3F2"/>
          </w:tcPr>
          <w:p w14:paraId="2B882EDC" w14:textId="77777777" w:rsidR="00DF2F69" w:rsidRPr="00FC038C" w:rsidRDefault="00DF2F69" w:rsidP="00F96F2B">
            <w:pPr>
              <w:pStyle w:val="TabletextrowsAgency"/>
            </w:pPr>
            <w:r w:rsidRPr="00FC038C">
              <w:t>Statement, part I</w:t>
            </w:r>
            <w:r w:rsidRPr="00FC038C">
              <w:br/>
              <w:t>4</w:t>
            </w:r>
            <w:r w:rsidRPr="00FC038C">
              <w:rPr>
                <w:vertAlign w:val="superscript"/>
              </w:rPr>
              <w:t>th</w:t>
            </w:r>
            <w:r w:rsidRPr="00FC038C">
              <w:t xml:space="preserve"> paragraph (2)</w:t>
            </w:r>
          </w:p>
        </w:tc>
        <w:tc>
          <w:tcPr>
            <w:tcW w:w="812" w:type="pct"/>
            <w:shd w:val="clear" w:color="auto" w:fill="E1E3F2"/>
          </w:tcPr>
          <w:p w14:paraId="227A8870" w14:textId="77777777" w:rsidR="00DF2F69" w:rsidRPr="00FC038C" w:rsidRDefault="00DF2F69" w:rsidP="00F96F2B">
            <w:pPr>
              <w:pStyle w:val="TabletextrowsAgency"/>
            </w:pPr>
          </w:p>
        </w:tc>
        <w:tc>
          <w:tcPr>
            <w:tcW w:w="2006" w:type="pct"/>
            <w:shd w:val="clear" w:color="auto" w:fill="E1E3F2"/>
          </w:tcPr>
          <w:p w14:paraId="51D0F459" w14:textId="56AAAE26" w:rsidR="00DF2F69" w:rsidRPr="00FC038C" w:rsidRDefault="00DF2F69" w:rsidP="00760CD3">
            <w:pPr>
              <w:pStyle w:val="TableheadingrowsAgency"/>
              <w:spacing w:line="240" w:lineRule="exact"/>
              <w:rPr>
                <w:b w:val="0"/>
              </w:rPr>
            </w:pPr>
            <w:r w:rsidRPr="00FC038C">
              <w:rPr>
                <w:b w:val="0"/>
              </w:rPr>
              <w:t>Comment:</w:t>
            </w:r>
            <w:r w:rsidRPr="00FC038C">
              <w:rPr>
                <w:b w:val="0"/>
              </w:rPr>
              <w:br/>
              <w:t xml:space="preserve">The template uses the term “critical medicinal product”. It can be clarified in which </w:t>
            </w:r>
            <w:r w:rsidR="00512AFD">
              <w:rPr>
                <w:b w:val="0"/>
              </w:rPr>
              <w:t xml:space="preserve">case a medicinal product can be </w:t>
            </w:r>
            <w:r w:rsidRPr="00FC038C">
              <w:rPr>
                <w:b w:val="0"/>
              </w:rPr>
              <w:t>considered as critical to support harmonisation among member states. However flexibility may be desirable. It may be preferable to require a decision by the Competent Authority from one relevant member state (e.g. for centralized products the state of the Marketing Authorization is grated).</w:t>
            </w:r>
          </w:p>
          <w:p w14:paraId="583AD4FE" w14:textId="66B092A9" w:rsidR="00DF2F69" w:rsidRPr="00FC038C" w:rsidRDefault="00DF2F69" w:rsidP="00760CD3">
            <w:pPr>
              <w:pStyle w:val="TabletextrowsAgency"/>
              <w:spacing w:line="240" w:lineRule="exact"/>
            </w:pPr>
            <w:r w:rsidRPr="00FC038C">
              <w:t>Proposed change:</w:t>
            </w:r>
            <w:r w:rsidRPr="00FC038C">
              <w:br/>
              <w:t xml:space="preserve">add </w:t>
            </w:r>
            <w:r w:rsidRPr="00FC038C">
              <w:rPr>
                <w:b/>
              </w:rPr>
              <w:t>A ‘critical medicinal product</w:t>
            </w:r>
            <w:r w:rsidRPr="00FC038C">
              <w:rPr>
                <w:b/>
                <w:iCs/>
              </w:rPr>
              <w:t>’ can be considered to be a medicinal product as an integral part of the treatment for a disease, which is life-threatening or irreversibly progressive, or without which the patient could be severely harmed or no alternatives are available</w:t>
            </w:r>
            <w:r w:rsidR="00E83B2C">
              <w:rPr>
                <w:b/>
                <w:iCs/>
              </w:rPr>
              <w:t xml:space="preserve"> (based on </w:t>
            </w:r>
            <w:r w:rsidRPr="00FC038C">
              <w:rPr>
                <w:b/>
              </w:rPr>
              <w:t>EMA/314762/2013, 3 September 2013).</w:t>
            </w:r>
          </w:p>
        </w:tc>
        <w:tc>
          <w:tcPr>
            <w:tcW w:w="1537" w:type="pct"/>
            <w:shd w:val="clear" w:color="auto" w:fill="E1E3F2"/>
          </w:tcPr>
          <w:p w14:paraId="640A0C3B" w14:textId="77777777" w:rsidR="00DF2F69" w:rsidRPr="00B32CCE" w:rsidRDefault="00DF2F69" w:rsidP="00F96F2B">
            <w:pPr>
              <w:pStyle w:val="TabletextrowsAgency"/>
              <w:rPr>
                <w:color w:val="000000"/>
              </w:rPr>
            </w:pPr>
          </w:p>
        </w:tc>
      </w:tr>
      <w:tr w:rsidR="00DF2F69" w14:paraId="47A4ED1F" w14:textId="77777777" w:rsidTr="00F96F2B">
        <w:trPr>
          <w:cantSplit/>
        </w:trPr>
        <w:tc>
          <w:tcPr>
            <w:tcW w:w="645" w:type="pct"/>
            <w:shd w:val="clear" w:color="auto" w:fill="E1E3F2"/>
          </w:tcPr>
          <w:p w14:paraId="19A132B1" w14:textId="77777777" w:rsidR="00DF2F69" w:rsidRPr="00FC038C" w:rsidRDefault="00DF2F69" w:rsidP="00F96F2B">
            <w:pPr>
              <w:pStyle w:val="TabletextrowsAgency"/>
            </w:pPr>
            <w:r w:rsidRPr="00FC038C">
              <w:t>Statement, part I</w:t>
            </w:r>
            <w:r w:rsidRPr="00FC038C">
              <w:br/>
              <w:t>4</w:t>
            </w:r>
            <w:r w:rsidRPr="00FC038C">
              <w:rPr>
                <w:vertAlign w:val="superscript"/>
              </w:rPr>
              <w:t>th</w:t>
            </w:r>
            <w:r w:rsidRPr="00FC038C">
              <w:t xml:space="preserve"> paragraph (2)</w:t>
            </w:r>
          </w:p>
        </w:tc>
        <w:tc>
          <w:tcPr>
            <w:tcW w:w="812" w:type="pct"/>
            <w:shd w:val="clear" w:color="auto" w:fill="E1E3F2"/>
          </w:tcPr>
          <w:p w14:paraId="58227BC1" w14:textId="77777777" w:rsidR="00DF2F69" w:rsidRPr="00FC038C" w:rsidRDefault="00DF2F69" w:rsidP="00F96F2B">
            <w:pPr>
              <w:pStyle w:val="TabletextrowsAgency"/>
            </w:pPr>
          </w:p>
        </w:tc>
        <w:tc>
          <w:tcPr>
            <w:tcW w:w="2006" w:type="pct"/>
            <w:shd w:val="clear" w:color="auto" w:fill="E1E3F2"/>
          </w:tcPr>
          <w:p w14:paraId="3DF27195" w14:textId="77777777" w:rsidR="00DF2F69" w:rsidRPr="00FC038C" w:rsidRDefault="00DF2F69" w:rsidP="00760CD3">
            <w:pPr>
              <w:pStyle w:val="TabletextrowsAgency"/>
              <w:spacing w:line="240" w:lineRule="exact"/>
            </w:pPr>
            <w:r w:rsidRPr="00FC038C">
              <w:t>Comment:</w:t>
            </w:r>
          </w:p>
          <w:p w14:paraId="18FC2C23" w14:textId="77777777" w:rsidR="00DF2F69" w:rsidRPr="00FC038C" w:rsidRDefault="00DF2F69" w:rsidP="00760CD3">
            <w:pPr>
              <w:pStyle w:val="TabletextrowsAgency"/>
              <w:spacing w:line="240" w:lineRule="exact"/>
            </w:pPr>
            <w:r w:rsidRPr="00FC038C">
              <w:t>The implementation of repeated testing should not be considered as a relevant approach to mitigate the risks related to non-GMP compliance. The additional note proposal should be removed.</w:t>
            </w:r>
          </w:p>
          <w:p w14:paraId="1D35E760" w14:textId="77777777" w:rsidR="00DF2F69" w:rsidRPr="00FC038C" w:rsidRDefault="00DF2F69" w:rsidP="00760CD3">
            <w:pPr>
              <w:pStyle w:val="TabletextrowsAgency"/>
              <w:spacing w:line="240" w:lineRule="exact"/>
            </w:pPr>
          </w:p>
          <w:p w14:paraId="37FA0B3E" w14:textId="77777777" w:rsidR="00DF2F69" w:rsidRPr="00FC038C" w:rsidRDefault="00DF2F69" w:rsidP="00760CD3">
            <w:pPr>
              <w:pStyle w:val="TabletextrowsAgency"/>
              <w:spacing w:line="240" w:lineRule="exact"/>
            </w:pPr>
            <w:r w:rsidRPr="00FC038C">
              <w:t>Proposed change (if any):</w:t>
            </w:r>
          </w:p>
          <w:p w14:paraId="0E8E1A4D" w14:textId="77777777" w:rsidR="00DF2F69" w:rsidRPr="00FC038C" w:rsidRDefault="00DF2F69" w:rsidP="00760CD3">
            <w:pPr>
              <w:pStyle w:val="TabletextrowsAgency"/>
              <w:spacing w:line="240" w:lineRule="exact"/>
            </w:pPr>
            <w:r w:rsidRPr="00FC038C">
              <w:rPr>
                <w:strike/>
                <w:color w:val="000000"/>
              </w:rPr>
              <w:t>Note: Repeated testing alone is not normally sufficient risk mitigation but, together with other actions, can form part of a strategy commensurate with the nature and the level of risk.</w:t>
            </w:r>
          </w:p>
        </w:tc>
        <w:tc>
          <w:tcPr>
            <w:tcW w:w="1537" w:type="pct"/>
            <w:shd w:val="clear" w:color="auto" w:fill="E1E3F2"/>
          </w:tcPr>
          <w:p w14:paraId="7C93A81A" w14:textId="77777777" w:rsidR="00DF2F69" w:rsidRPr="00B32CCE" w:rsidRDefault="00DF2F69" w:rsidP="00F96F2B">
            <w:pPr>
              <w:pStyle w:val="TabletextrowsAgency"/>
              <w:rPr>
                <w:color w:val="000000"/>
              </w:rPr>
            </w:pPr>
          </w:p>
        </w:tc>
      </w:tr>
      <w:tr w:rsidR="00DF2F69" w14:paraId="33740CBE" w14:textId="77777777" w:rsidTr="00F96F2B">
        <w:trPr>
          <w:cantSplit/>
        </w:trPr>
        <w:tc>
          <w:tcPr>
            <w:tcW w:w="645" w:type="pct"/>
            <w:shd w:val="clear" w:color="auto" w:fill="E1E3F2"/>
          </w:tcPr>
          <w:p w14:paraId="1D29ABE2" w14:textId="77777777" w:rsidR="00DF2F69" w:rsidRPr="00FC038C" w:rsidRDefault="00DF2F69" w:rsidP="00F96F2B">
            <w:pPr>
              <w:pStyle w:val="TabletextrowsAgency"/>
            </w:pPr>
            <w:r w:rsidRPr="00FC038C">
              <w:t>Statement, part I</w:t>
            </w:r>
            <w:r w:rsidRPr="00FC038C">
              <w:br/>
              <w:t>4</w:t>
            </w:r>
            <w:r w:rsidRPr="00FC038C">
              <w:rPr>
                <w:vertAlign w:val="superscript"/>
              </w:rPr>
              <w:t>th</w:t>
            </w:r>
            <w:r w:rsidRPr="00FC038C">
              <w:t xml:space="preserve"> paragraph (3)</w:t>
            </w:r>
          </w:p>
        </w:tc>
        <w:tc>
          <w:tcPr>
            <w:tcW w:w="812" w:type="pct"/>
            <w:shd w:val="clear" w:color="auto" w:fill="E1E3F2"/>
          </w:tcPr>
          <w:p w14:paraId="62B3CCF9" w14:textId="77777777" w:rsidR="00DF2F69" w:rsidRPr="00FC038C" w:rsidRDefault="00DF2F69" w:rsidP="00F96F2B">
            <w:pPr>
              <w:pStyle w:val="TabletextrowsAgency"/>
            </w:pPr>
          </w:p>
        </w:tc>
        <w:tc>
          <w:tcPr>
            <w:tcW w:w="2006" w:type="pct"/>
            <w:shd w:val="clear" w:color="auto" w:fill="E1E3F2"/>
          </w:tcPr>
          <w:p w14:paraId="26CB5E6D" w14:textId="77777777" w:rsidR="00DF2F69" w:rsidRPr="00FC038C" w:rsidRDefault="00DF2F69" w:rsidP="00760CD3">
            <w:pPr>
              <w:pStyle w:val="TabletextrowsAgency"/>
              <w:spacing w:line="240" w:lineRule="exact"/>
            </w:pPr>
            <w:r w:rsidRPr="00FC038C">
              <w:t>Comments:</w:t>
            </w:r>
            <w:r w:rsidRPr="00FC038C">
              <w:br/>
              <w:t>a) For clarity we recommend adding the nature of this risk assessment and link to patients.</w:t>
            </w:r>
          </w:p>
          <w:p w14:paraId="62F239A3" w14:textId="77777777" w:rsidR="00DF2F69" w:rsidRPr="00FC038C" w:rsidRDefault="00DF2F69" w:rsidP="00760CD3">
            <w:pPr>
              <w:pStyle w:val="TabletextrowsAgency"/>
              <w:spacing w:line="240" w:lineRule="exact"/>
            </w:pPr>
            <w:r w:rsidRPr="00FC038C">
              <w:t>b) We understand it can be helpful to e.g. 30 calendar days within which the authorities’ comments have to be sent to harmonise expectations from both industry and regulators.</w:t>
            </w:r>
          </w:p>
          <w:p w14:paraId="019A0B58" w14:textId="1217D222" w:rsidR="00DF2F69" w:rsidRPr="00FC038C" w:rsidRDefault="00DF2F69" w:rsidP="00760CD3">
            <w:pPr>
              <w:pStyle w:val="TabletextrowsAgency"/>
              <w:spacing w:line="240" w:lineRule="exact"/>
            </w:pPr>
            <w:r w:rsidRPr="00FC038C">
              <w:t xml:space="preserve">c) Note: We understand the </w:t>
            </w:r>
            <w:proofErr w:type="gramStart"/>
            <w:r w:rsidRPr="00FC038C">
              <w:t>risk mitigation plan should be reviewed by the National Competent Authorities of the countries in which the pro</w:t>
            </w:r>
            <w:r w:rsidR="00B37C59">
              <w:t>duct should be distributed only</w:t>
            </w:r>
            <w:proofErr w:type="gramEnd"/>
            <w:r w:rsidR="00B37C59">
              <w:t>.</w:t>
            </w:r>
          </w:p>
          <w:p w14:paraId="0DB1DC61" w14:textId="77777777" w:rsidR="00DF2F69" w:rsidRPr="00FC038C" w:rsidRDefault="00DF2F69" w:rsidP="00760CD3">
            <w:pPr>
              <w:pStyle w:val="TabletextrowsAgency"/>
              <w:spacing w:line="240" w:lineRule="exact"/>
              <w:rPr>
                <w:i/>
              </w:rPr>
            </w:pPr>
            <w:r w:rsidRPr="00FC038C">
              <w:t xml:space="preserve">Proposed change: </w:t>
            </w:r>
            <w:r w:rsidRPr="00FC038C">
              <w:br/>
              <w:t>d) It can be clarified that the report needs to be available prior to the QP certification and not necessary approved by the NCA prior to certification in order to continue uninterrupted supply.</w:t>
            </w:r>
            <w:r w:rsidRPr="00FC038C">
              <w:br/>
              <w:t>Proposed change:</w:t>
            </w:r>
            <w:r w:rsidRPr="00FC038C">
              <w:br/>
            </w:r>
            <w:r w:rsidRPr="00FC038C">
              <w:rPr>
                <w:i/>
              </w:rPr>
              <w:t xml:space="preserve">A thorough </w:t>
            </w:r>
            <w:r w:rsidRPr="00FC038C">
              <w:rPr>
                <w:b/>
                <w:i/>
              </w:rPr>
              <w:t>patient</w:t>
            </w:r>
            <w:r w:rsidRPr="00FC038C">
              <w:rPr>
                <w:b/>
              </w:rPr>
              <w:t xml:space="preserve"> </w:t>
            </w:r>
            <w:r w:rsidRPr="00FC038C">
              <w:rPr>
                <w:i/>
              </w:rPr>
              <w:t>risk benefit evaluation has been performed</w:t>
            </w:r>
            <w:r w:rsidRPr="00FC038C">
              <w:rPr>
                <w:b/>
                <w:i/>
              </w:rPr>
              <w:t xml:space="preserve"> </w:t>
            </w:r>
            <w:r w:rsidRPr="00FC038C">
              <w:rPr>
                <w:i/>
              </w:rPr>
              <w:t xml:space="preserve">and shared with the affected NCAs </w:t>
            </w:r>
            <w:r w:rsidRPr="00FC038C">
              <w:rPr>
                <w:b/>
                <w:i/>
              </w:rPr>
              <w:t>prior to the QP certification</w:t>
            </w:r>
            <w:r w:rsidRPr="00FC038C">
              <w:rPr>
                <w:i/>
              </w:rPr>
              <w:t>. Comments from those authorities</w:t>
            </w:r>
            <w:r w:rsidRPr="00FC038C">
              <w:rPr>
                <w:b/>
                <w:i/>
              </w:rPr>
              <w:t xml:space="preserve">, usually received within </w:t>
            </w:r>
            <w:r w:rsidRPr="00FC038C">
              <w:rPr>
                <w:b/>
              </w:rPr>
              <w:t>30 calendar days,</w:t>
            </w:r>
            <w:r w:rsidRPr="00FC038C">
              <w:t xml:space="preserve"> </w:t>
            </w:r>
            <w:r w:rsidRPr="00FC038C">
              <w:rPr>
                <w:i/>
              </w:rPr>
              <w:t>have to be taken into account. ….</w:t>
            </w:r>
          </w:p>
        </w:tc>
        <w:tc>
          <w:tcPr>
            <w:tcW w:w="1537" w:type="pct"/>
            <w:shd w:val="clear" w:color="auto" w:fill="E1E3F2"/>
          </w:tcPr>
          <w:p w14:paraId="7B602B8F" w14:textId="77777777" w:rsidR="00DF2F69" w:rsidRPr="00B32CCE" w:rsidRDefault="00DF2F69" w:rsidP="00F96F2B">
            <w:pPr>
              <w:pStyle w:val="TabletextrowsAgency"/>
              <w:rPr>
                <w:color w:val="000000"/>
              </w:rPr>
            </w:pPr>
          </w:p>
        </w:tc>
      </w:tr>
      <w:tr w:rsidR="00DF2F69" w14:paraId="15B8739C" w14:textId="77777777" w:rsidTr="00F96F2B">
        <w:trPr>
          <w:cantSplit/>
        </w:trPr>
        <w:tc>
          <w:tcPr>
            <w:tcW w:w="645" w:type="pct"/>
            <w:shd w:val="clear" w:color="auto" w:fill="E1E3F2"/>
          </w:tcPr>
          <w:p w14:paraId="06199398" w14:textId="77777777" w:rsidR="00DF2F69" w:rsidRPr="00FC038C" w:rsidRDefault="00DF2F69" w:rsidP="00F96F2B">
            <w:pPr>
              <w:pStyle w:val="TabletextrowsAgency"/>
            </w:pPr>
            <w:r w:rsidRPr="00FC038C">
              <w:t>Statement, part I</w:t>
            </w:r>
            <w:r w:rsidRPr="00FC038C">
              <w:br/>
              <w:t>4</w:t>
            </w:r>
            <w:r w:rsidRPr="00FC038C">
              <w:rPr>
                <w:vertAlign w:val="superscript"/>
              </w:rPr>
              <w:t>th</w:t>
            </w:r>
            <w:r w:rsidRPr="00FC038C">
              <w:t xml:space="preserve"> paragraph (4)</w:t>
            </w:r>
          </w:p>
        </w:tc>
        <w:tc>
          <w:tcPr>
            <w:tcW w:w="812" w:type="pct"/>
            <w:shd w:val="clear" w:color="auto" w:fill="E1E3F2"/>
          </w:tcPr>
          <w:p w14:paraId="1E3FD509" w14:textId="77777777" w:rsidR="00DF2F69" w:rsidRPr="00FC038C" w:rsidRDefault="00DF2F69" w:rsidP="00F96F2B">
            <w:pPr>
              <w:pStyle w:val="TabletextrowsAgency"/>
            </w:pPr>
          </w:p>
        </w:tc>
        <w:tc>
          <w:tcPr>
            <w:tcW w:w="2006" w:type="pct"/>
            <w:shd w:val="clear" w:color="auto" w:fill="E1E3F2"/>
          </w:tcPr>
          <w:p w14:paraId="11DC7132" w14:textId="77777777" w:rsidR="00DF2F69" w:rsidRPr="00FC038C" w:rsidRDefault="00DF2F69" w:rsidP="00760CD3">
            <w:pPr>
              <w:pStyle w:val="Default"/>
              <w:spacing w:line="240" w:lineRule="exact"/>
              <w:rPr>
                <w:sz w:val="18"/>
                <w:szCs w:val="18"/>
              </w:rPr>
            </w:pPr>
            <w:r w:rsidRPr="00FC038C">
              <w:rPr>
                <w:sz w:val="18"/>
                <w:szCs w:val="18"/>
              </w:rPr>
              <w:t>Comment. There term ‘no objection’ seems to be very wide. We understand it can be specified.</w:t>
            </w:r>
          </w:p>
          <w:p w14:paraId="50EF441C" w14:textId="77777777" w:rsidR="00DF2F69" w:rsidRPr="00FC038C" w:rsidRDefault="00DF2F69" w:rsidP="00760CD3">
            <w:pPr>
              <w:pStyle w:val="Default"/>
              <w:spacing w:line="240" w:lineRule="exact"/>
              <w:rPr>
                <w:sz w:val="18"/>
                <w:szCs w:val="18"/>
              </w:rPr>
            </w:pPr>
            <w:r w:rsidRPr="00FC038C">
              <w:rPr>
                <w:sz w:val="18"/>
                <w:szCs w:val="18"/>
              </w:rPr>
              <w:t>Proposed change:</w:t>
            </w:r>
          </w:p>
          <w:p w14:paraId="0614C1D0" w14:textId="77777777" w:rsidR="00DF2F69" w:rsidRPr="00FC038C" w:rsidRDefault="00DF2F69" w:rsidP="00760CD3">
            <w:pPr>
              <w:pStyle w:val="Default"/>
              <w:spacing w:after="140" w:line="240" w:lineRule="exact"/>
              <w:rPr>
                <w:sz w:val="18"/>
                <w:szCs w:val="18"/>
              </w:rPr>
            </w:pPr>
            <w:r w:rsidRPr="00FC038C">
              <w:rPr>
                <w:sz w:val="18"/>
                <w:szCs w:val="18"/>
              </w:rPr>
              <w:t>…</w:t>
            </w:r>
            <w:proofErr w:type="gramStart"/>
            <w:r w:rsidRPr="00FC038C">
              <w:rPr>
                <w:sz w:val="18"/>
                <w:szCs w:val="18"/>
              </w:rPr>
              <w:t>and</w:t>
            </w:r>
            <w:proofErr w:type="gramEnd"/>
            <w:r w:rsidRPr="00FC038C">
              <w:rPr>
                <w:sz w:val="18"/>
                <w:szCs w:val="18"/>
              </w:rPr>
              <w:t xml:space="preserve"> that there is no objection </w:t>
            </w:r>
            <w:r w:rsidRPr="00FC038C">
              <w:rPr>
                <w:b/>
                <w:sz w:val="18"/>
                <w:szCs w:val="18"/>
              </w:rPr>
              <w:t>based on the conclusions of the risk benefit evaluation’ to</w:t>
            </w:r>
            <w:r w:rsidRPr="00FC038C">
              <w:rPr>
                <w:sz w:val="18"/>
                <w:szCs w:val="18"/>
              </w:rPr>
              <w:t xml:space="preserve"> distribution…</w:t>
            </w:r>
          </w:p>
        </w:tc>
        <w:tc>
          <w:tcPr>
            <w:tcW w:w="1537" w:type="pct"/>
            <w:shd w:val="clear" w:color="auto" w:fill="E1E3F2"/>
          </w:tcPr>
          <w:p w14:paraId="655C01A8" w14:textId="77777777" w:rsidR="00DF2F69" w:rsidRPr="00B32CCE" w:rsidRDefault="00DF2F69" w:rsidP="00F96F2B">
            <w:pPr>
              <w:pStyle w:val="TabletextrowsAgency"/>
              <w:rPr>
                <w:b/>
                <w:color w:val="000000"/>
                <w:sz w:val="21"/>
              </w:rPr>
            </w:pPr>
          </w:p>
        </w:tc>
      </w:tr>
      <w:tr w:rsidR="00DF2F69" w14:paraId="423E098D" w14:textId="77777777" w:rsidTr="00F96F2B">
        <w:trPr>
          <w:cantSplit/>
        </w:trPr>
        <w:tc>
          <w:tcPr>
            <w:tcW w:w="645" w:type="pct"/>
            <w:shd w:val="clear" w:color="auto" w:fill="E1E3F2"/>
          </w:tcPr>
          <w:p w14:paraId="6037D886" w14:textId="77777777" w:rsidR="00DF2F69" w:rsidRPr="00FC038C" w:rsidRDefault="00DF2F69" w:rsidP="00F96F2B">
            <w:pPr>
              <w:pStyle w:val="TabletextrowsAgency"/>
            </w:pPr>
            <w:r w:rsidRPr="00FC038C">
              <w:t>Statement, part I</w:t>
            </w:r>
            <w:r w:rsidRPr="00FC038C">
              <w:br/>
              <w:t>4</w:t>
            </w:r>
            <w:r w:rsidRPr="00FC038C">
              <w:rPr>
                <w:vertAlign w:val="superscript"/>
              </w:rPr>
              <w:t>th</w:t>
            </w:r>
            <w:r w:rsidRPr="00FC038C">
              <w:t xml:space="preserve"> paragraph (6)</w:t>
            </w:r>
          </w:p>
        </w:tc>
        <w:tc>
          <w:tcPr>
            <w:tcW w:w="812" w:type="pct"/>
            <w:shd w:val="clear" w:color="auto" w:fill="E1E3F2"/>
          </w:tcPr>
          <w:p w14:paraId="597A7700" w14:textId="77777777" w:rsidR="00DF2F69" w:rsidRPr="00FC038C" w:rsidRDefault="00DF2F69" w:rsidP="00F96F2B">
            <w:pPr>
              <w:pStyle w:val="TabletextrowsAgency"/>
            </w:pPr>
          </w:p>
        </w:tc>
        <w:tc>
          <w:tcPr>
            <w:tcW w:w="2006" w:type="pct"/>
            <w:shd w:val="clear" w:color="auto" w:fill="E1E3F2"/>
          </w:tcPr>
          <w:p w14:paraId="4A343189" w14:textId="77777777" w:rsidR="00DF2F69" w:rsidRPr="00FC038C" w:rsidRDefault="00DF2F69" w:rsidP="00760CD3">
            <w:pPr>
              <w:pStyle w:val="TabletextrowsAgency"/>
              <w:spacing w:line="240" w:lineRule="exact"/>
              <w:rPr>
                <w:i/>
              </w:rPr>
            </w:pPr>
            <w:r w:rsidRPr="00FC038C">
              <w:rPr>
                <w:i/>
              </w:rPr>
              <w:t>The affected Marketing Authorisations have not been revoked or suspended.</w:t>
            </w:r>
          </w:p>
          <w:p w14:paraId="4F5D3C3F" w14:textId="77777777" w:rsidR="00DF2F69" w:rsidRPr="00FC038C" w:rsidRDefault="00DF2F69" w:rsidP="00760CD3">
            <w:pPr>
              <w:pStyle w:val="TabletextrowsAgency"/>
              <w:spacing w:line="240" w:lineRule="exact"/>
            </w:pPr>
            <w:r w:rsidRPr="00FC038C">
              <w:t>Comment:</w:t>
            </w:r>
            <w:r w:rsidRPr="00FC038C">
              <w:br/>
              <w:t>We see the need for clarification on “affected Marketing Authorization”</w:t>
            </w:r>
            <w:r w:rsidRPr="00FC038C">
              <w:br/>
              <w:t xml:space="preserve">a) hold by the Marketing Authorization Holder (MAH) of the country of origin or </w:t>
            </w:r>
            <w:r w:rsidRPr="00FC038C">
              <w:br/>
              <w:t xml:space="preserve">b) by the MAH of importing country or </w:t>
            </w:r>
            <w:r w:rsidRPr="00FC038C">
              <w:br/>
              <w:t>c) both?</w:t>
            </w:r>
          </w:p>
          <w:p w14:paraId="46DD10CE" w14:textId="77777777" w:rsidR="00DF2F69" w:rsidRPr="00FC038C" w:rsidRDefault="00DF2F69" w:rsidP="00760CD3">
            <w:pPr>
              <w:pStyle w:val="TabletextrowsAgency"/>
              <w:spacing w:line="240" w:lineRule="exact"/>
            </w:pPr>
            <w:r w:rsidRPr="00FC038C">
              <w:t>Proposed change:</w:t>
            </w:r>
            <w:r w:rsidRPr="00FC038C">
              <w:br/>
              <w:t>The affected Marketing Authorisations have not been revoked or suspended</w:t>
            </w:r>
            <w:r w:rsidRPr="00FC038C">
              <w:rPr>
                <w:b/>
              </w:rPr>
              <w:t xml:space="preserve"> in both, the country of origin and the importing country, as applicable</w:t>
            </w:r>
          </w:p>
        </w:tc>
        <w:tc>
          <w:tcPr>
            <w:tcW w:w="1537" w:type="pct"/>
            <w:shd w:val="clear" w:color="auto" w:fill="E1E3F2"/>
          </w:tcPr>
          <w:p w14:paraId="29DA9976" w14:textId="77777777" w:rsidR="00DF2F69" w:rsidRPr="00B32CCE" w:rsidRDefault="00DF2F69" w:rsidP="00F96F2B">
            <w:pPr>
              <w:pStyle w:val="TabletextrowsAgency"/>
              <w:rPr>
                <w:b/>
                <w:color w:val="000000"/>
              </w:rPr>
            </w:pPr>
          </w:p>
        </w:tc>
      </w:tr>
      <w:tr w:rsidR="00DF2F69" w14:paraId="257BB3B8" w14:textId="77777777" w:rsidTr="00F96F2B">
        <w:trPr>
          <w:cantSplit/>
        </w:trPr>
        <w:tc>
          <w:tcPr>
            <w:tcW w:w="645" w:type="pct"/>
            <w:shd w:val="clear" w:color="auto" w:fill="E1E3F2"/>
          </w:tcPr>
          <w:p w14:paraId="61013D36" w14:textId="77777777" w:rsidR="00DF2F69" w:rsidRPr="00FC038C" w:rsidRDefault="00DF2F69" w:rsidP="00F96F2B">
            <w:pPr>
              <w:pStyle w:val="TabletextrowsAgency"/>
            </w:pPr>
            <w:r w:rsidRPr="00FC038C">
              <w:t>Statement, part I</w:t>
            </w:r>
            <w:r w:rsidRPr="00FC038C">
              <w:br/>
              <w:t>4</w:t>
            </w:r>
            <w:r w:rsidRPr="00FC038C">
              <w:rPr>
                <w:vertAlign w:val="superscript"/>
              </w:rPr>
              <w:t>th</w:t>
            </w:r>
            <w:r w:rsidRPr="00FC038C">
              <w:t xml:space="preserve"> paragraph (8)</w:t>
            </w:r>
          </w:p>
        </w:tc>
        <w:tc>
          <w:tcPr>
            <w:tcW w:w="812" w:type="pct"/>
            <w:shd w:val="clear" w:color="auto" w:fill="E1E3F2"/>
          </w:tcPr>
          <w:p w14:paraId="07963C67" w14:textId="77777777" w:rsidR="00DF2F69" w:rsidRPr="00FC038C" w:rsidRDefault="00DF2F69" w:rsidP="00F96F2B">
            <w:pPr>
              <w:pStyle w:val="TabletextrowsAgency"/>
            </w:pPr>
          </w:p>
        </w:tc>
        <w:tc>
          <w:tcPr>
            <w:tcW w:w="2006" w:type="pct"/>
            <w:shd w:val="clear" w:color="auto" w:fill="E1E3F2"/>
          </w:tcPr>
          <w:p w14:paraId="2997F198" w14:textId="77777777" w:rsidR="00DF2F69" w:rsidRPr="00FC038C" w:rsidRDefault="00DF2F69" w:rsidP="00760CD3">
            <w:pPr>
              <w:pStyle w:val="TabletextrowsAgency"/>
              <w:spacing w:line="240" w:lineRule="exact"/>
            </w:pPr>
            <w:r w:rsidRPr="00FC038C">
              <w:t>Comment</w:t>
            </w:r>
          </w:p>
          <w:p w14:paraId="451C1435" w14:textId="28F8E36E" w:rsidR="00DF2F69" w:rsidRPr="00FC038C" w:rsidRDefault="00DF2F69" w:rsidP="00760CD3">
            <w:pPr>
              <w:pStyle w:val="TabletextrowsAgency"/>
              <w:spacing w:line="240" w:lineRule="exact"/>
            </w:pPr>
            <w:r w:rsidRPr="00FC038C">
              <w:t>In cases where it has been concluded, that there are no objection</w:t>
            </w:r>
            <w:r w:rsidR="00E83B2C">
              <w:t>s</w:t>
            </w:r>
            <w:r w:rsidRPr="00FC038C">
              <w:t xml:space="preserve"> to the Qualified Person certifying affected batches, it is advised to add an additional condition (8.), in order for the manufacturer to be able to provide documentation for the acceptance of the Qualified Person if requested.</w:t>
            </w:r>
          </w:p>
          <w:p w14:paraId="614013BD" w14:textId="77777777" w:rsidR="00DF2F69" w:rsidRPr="00FC038C" w:rsidRDefault="00DF2F69" w:rsidP="00760CD3">
            <w:pPr>
              <w:pStyle w:val="TabletextrowsAgency"/>
              <w:spacing w:line="240" w:lineRule="exact"/>
            </w:pPr>
            <w:r w:rsidRPr="00FC038C">
              <w:t>Proposed addition:</w:t>
            </w:r>
          </w:p>
          <w:p w14:paraId="7242155F" w14:textId="77777777" w:rsidR="00DF2F69" w:rsidRPr="00FC038C" w:rsidRDefault="00DF2F69" w:rsidP="00760CD3">
            <w:pPr>
              <w:pStyle w:val="TabletextrowsAgency"/>
              <w:spacing w:line="240" w:lineRule="exact"/>
              <w:rPr>
                <w:b/>
              </w:rPr>
            </w:pPr>
            <w:r w:rsidRPr="00FC038C">
              <w:rPr>
                <w:b/>
              </w:rPr>
              <w:t>8. The manufacturer has received a statement from the issuing authority containing documenta</w:t>
            </w:r>
            <w:bookmarkStart w:id="1" w:name="_GoBack"/>
            <w:bookmarkEnd w:id="1"/>
            <w:r w:rsidRPr="00FC038C">
              <w:rPr>
                <w:b/>
              </w:rPr>
              <w:t>tion of approval of release of batches by the Qualified Person for the scope of the non-compliance statement based on listed conditions.</w:t>
            </w:r>
          </w:p>
        </w:tc>
        <w:tc>
          <w:tcPr>
            <w:tcW w:w="1537" w:type="pct"/>
            <w:shd w:val="clear" w:color="auto" w:fill="E1E3F2"/>
          </w:tcPr>
          <w:p w14:paraId="6C3AC3F0" w14:textId="77777777" w:rsidR="00DF2F69" w:rsidRPr="005F7577" w:rsidRDefault="00DF2F69" w:rsidP="00F96F2B">
            <w:pPr>
              <w:pStyle w:val="TabletextrowsAgency"/>
              <w:rPr>
                <w:b/>
                <w:color w:val="FF0000"/>
                <w:sz w:val="21"/>
              </w:rPr>
            </w:pPr>
          </w:p>
        </w:tc>
      </w:tr>
    </w:tbl>
    <w:p w14:paraId="15AA521E" w14:textId="77777777" w:rsidR="00DF2F69" w:rsidRDefault="00DF2F69" w:rsidP="00DF2F69">
      <w:pPr>
        <w:pStyle w:val="TableFigurenoteAgency"/>
      </w:pPr>
      <w:r>
        <w:t>Please add more rows if needed.</w:t>
      </w:r>
    </w:p>
    <w:p w14:paraId="421D0C2F" w14:textId="77777777" w:rsidR="002B1DB0" w:rsidRDefault="002B1DB0"/>
    <w:sectPr w:rsidR="002B1DB0">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13F23" w14:textId="77777777" w:rsidR="002B28F5" w:rsidRDefault="002B28F5">
      <w:r>
        <w:separator/>
      </w:r>
    </w:p>
  </w:endnote>
  <w:endnote w:type="continuationSeparator" w:id="0">
    <w:p w14:paraId="27DB9416" w14:textId="77777777" w:rsidR="002B28F5" w:rsidRDefault="002B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9590"/>
      <w:gridCol w:w="4980"/>
    </w:tblGrid>
    <w:tr w:rsidR="002B28F5" w14:paraId="4D1700E7" w14:textId="77777777">
      <w:tc>
        <w:tcPr>
          <w:tcW w:w="5000" w:type="pct"/>
          <w:gridSpan w:val="2"/>
          <w:tcBorders>
            <w:top w:val="single" w:sz="2" w:space="0" w:color="auto"/>
            <w:left w:val="nil"/>
            <w:bottom w:val="nil"/>
            <w:right w:val="nil"/>
          </w:tcBorders>
          <w:tcMar>
            <w:left w:w="0" w:type="dxa"/>
            <w:right w:w="0" w:type="dxa"/>
          </w:tcMar>
        </w:tcPr>
        <w:p w14:paraId="27E3112F" w14:textId="77777777" w:rsidR="002B28F5" w:rsidRDefault="002B28F5">
          <w:pPr>
            <w:pStyle w:val="FooterAgency"/>
          </w:pPr>
        </w:p>
      </w:tc>
    </w:tr>
    <w:tr w:rsidR="002B28F5" w14:paraId="2CD24725" w14:textId="77777777">
      <w:trPr>
        <w:trHeight w:val="355"/>
      </w:trPr>
      <w:tc>
        <w:tcPr>
          <w:tcW w:w="3291" w:type="pct"/>
          <w:tcMar>
            <w:left w:w="0" w:type="dxa"/>
            <w:right w:w="0" w:type="dxa"/>
          </w:tcMar>
        </w:tcPr>
        <w:p w14:paraId="068A8D0A" w14:textId="77777777" w:rsidR="002B28F5" w:rsidRDefault="002B28F5">
          <w:pPr>
            <w:pStyle w:val="FooterAgency"/>
          </w:pPr>
        </w:p>
      </w:tc>
      <w:tc>
        <w:tcPr>
          <w:tcW w:w="1709" w:type="pct"/>
          <w:tcMar>
            <w:left w:w="0" w:type="dxa"/>
            <w:right w:w="0" w:type="dxa"/>
          </w:tcMar>
        </w:tcPr>
        <w:p w14:paraId="0C517A6C" w14:textId="77777777" w:rsidR="002B28F5" w:rsidRDefault="002B28F5">
          <w:pPr>
            <w:pStyle w:val="FooterAgency"/>
          </w:pPr>
        </w:p>
      </w:tc>
    </w:tr>
    <w:tr w:rsidR="002B28F5" w14:paraId="14CD850A" w14:textId="77777777">
      <w:tc>
        <w:tcPr>
          <w:tcW w:w="3291" w:type="pct"/>
          <w:tcMar>
            <w:left w:w="0" w:type="dxa"/>
            <w:right w:w="0" w:type="dxa"/>
          </w:tcMar>
        </w:tcPr>
        <w:p w14:paraId="1A001BFA" w14:textId="77777777" w:rsidR="002B28F5" w:rsidRDefault="002B28F5">
          <w:pPr>
            <w:pStyle w:val="FooterAgency"/>
          </w:pPr>
        </w:p>
      </w:tc>
      <w:tc>
        <w:tcPr>
          <w:tcW w:w="1709" w:type="pct"/>
          <w:tcMar>
            <w:left w:w="0" w:type="dxa"/>
            <w:right w:w="0" w:type="dxa"/>
          </w:tcMar>
        </w:tcPr>
        <w:p w14:paraId="113E0EE1" w14:textId="77777777" w:rsidR="002B28F5" w:rsidRDefault="002B28F5">
          <w:pPr>
            <w:pStyle w:val="PagenumberAgency"/>
            <w:ind w:right="210"/>
          </w:pPr>
          <w:r>
            <w:fldChar w:fldCharType="begin"/>
          </w:r>
          <w:r>
            <w:instrText xml:space="preserve"> PAGE </w:instrText>
          </w:r>
          <w:r>
            <w:fldChar w:fldCharType="separate"/>
          </w:r>
          <w:r w:rsidR="00760CD3">
            <w:rPr>
              <w:noProof/>
            </w:rPr>
            <w:t>6</w:t>
          </w:r>
          <w:r>
            <w:fldChar w:fldCharType="end"/>
          </w:r>
          <w:r>
            <w:t>/</w:t>
          </w:r>
          <w:r>
            <w:fldChar w:fldCharType="begin"/>
          </w:r>
          <w:r>
            <w:instrText xml:space="preserve"> NUMPAGES </w:instrText>
          </w:r>
          <w:r>
            <w:fldChar w:fldCharType="separate"/>
          </w:r>
          <w:r w:rsidR="00760CD3">
            <w:rPr>
              <w:noProof/>
            </w:rPr>
            <w:t>8</w:t>
          </w:r>
          <w:r>
            <w:fldChar w:fldCharType="end"/>
          </w:r>
        </w:p>
      </w:tc>
    </w:tr>
  </w:tbl>
  <w:p w14:paraId="2B75860F" w14:textId="77777777" w:rsidR="002B28F5" w:rsidRDefault="002B28F5">
    <w:pPr>
      <w:pStyle w:val="FooterAgency"/>
      <w:rPr>
        <w:rStyle w:val="PageNumber"/>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206"/>
      <w:gridCol w:w="3207"/>
    </w:tblGrid>
    <w:tr w:rsidR="002B28F5" w14:paraId="27969E7F" w14:textId="77777777">
      <w:tc>
        <w:tcPr>
          <w:tcW w:w="9413" w:type="dxa"/>
          <w:gridSpan w:val="2"/>
          <w:tcBorders>
            <w:top w:val="single" w:sz="2" w:space="0" w:color="auto"/>
            <w:left w:val="nil"/>
            <w:bottom w:val="nil"/>
            <w:right w:val="nil"/>
          </w:tcBorders>
          <w:tcMar>
            <w:left w:w="0" w:type="dxa"/>
            <w:right w:w="0" w:type="dxa"/>
          </w:tcMar>
          <w:vAlign w:val="bottom"/>
        </w:tcPr>
        <w:p w14:paraId="41424D27" w14:textId="77777777" w:rsidR="002B28F5" w:rsidRDefault="002B28F5">
          <w:pPr>
            <w:pStyle w:val="FooterAgency"/>
          </w:pPr>
        </w:p>
      </w:tc>
    </w:tr>
    <w:tr w:rsidR="002B28F5" w14:paraId="206CA143" w14:textId="77777777">
      <w:trPr>
        <w:cantSplit/>
        <w:trHeight w:hRule="exact" w:val="198"/>
      </w:trPr>
      <w:tc>
        <w:tcPr>
          <w:tcW w:w="6206" w:type="dxa"/>
          <w:tcMar>
            <w:left w:w="0" w:type="dxa"/>
            <w:right w:w="0" w:type="dxa"/>
          </w:tcMar>
          <w:vAlign w:val="bottom"/>
        </w:tcPr>
        <w:p w14:paraId="584B32FF" w14:textId="77777777" w:rsidR="002B28F5" w:rsidRDefault="002B28F5">
          <w:pPr>
            <w:pStyle w:val="FooterAgency"/>
          </w:pPr>
          <w:r>
            <w:t xml:space="preserve">7 </w:t>
          </w:r>
          <w:proofErr w:type="spellStart"/>
          <w:r>
            <w:t>Westferry</w:t>
          </w:r>
          <w:proofErr w:type="spellEnd"/>
          <w:r>
            <w:t xml:space="preserve"> Circus </w:t>
          </w:r>
          <w:r>
            <w:rPr>
              <w:rStyle w:val="FooterblueAgencyCharChar"/>
            </w:rPr>
            <w:t>●</w:t>
          </w:r>
          <w:r>
            <w:t xml:space="preserve"> Canary Wharf </w:t>
          </w:r>
          <w:r>
            <w:rPr>
              <w:rStyle w:val="FooterblueAgencyCharChar"/>
            </w:rPr>
            <w:t>●</w:t>
          </w:r>
          <w:r>
            <w:t xml:space="preserve"> London E14 4HB </w:t>
          </w:r>
          <w:r>
            <w:rPr>
              <w:rStyle w:val="FooterblueAgencyCharChar"/>
            </w:rPr>
            <w:t>●</w:t>
          </w:r>
          <w:r>
            <w:t xml:space="preserve"> United Kingdom</w:t>
          </w:r>
        </w:p>
      </w:tc>
      <w:tc>
        <w:tcPr>
          <w:tcW w:w="3207" w:type="dxa"/>
          <w:vMerge w:val="restart"/>
          <w:tcMar>
            <w:left w:w="0" w:type="dxa"/>
            <w:right w:w="0" w:type="dxa"/>
          </w:tcMar>
          <w:vAlign w:val="bottom"/>
        </w:tcPr>
        <w:tbl>
          <w:tblPr>
            <w:tblW w:w="0" w:type="auto"/>
            <w:jc w:val="right"/>
            <w:tblLook w:val="01E0" w:firstRow="1" w:lastRow="1" w:firstColumn="1" w:lastColumn="1" w:noHBand="0" w:noVBand="0"/>
          </w:tblPr>
          <w:tblGrid>
            <w:gridCol w:w="2473"/>
            <w:gridCol w:w="734"/>
          </w:tblGrid>
          <w:tr w:rsidR="002B28F5" w14:paraId="4F773AB5" w14:textId="77777777">
            <w:trPr>
              <w:cantSplit/>
              <w:trHeight w:val="180"/>
              <w:tblHeader/>
              <w:jc w:val="right"/>
            </w:trPr>
            <w:tc>
              <w:tcPr>
                <w:tcW w:w="2478" w:type="dxa"/>
                <w:vMerge w:val="restart"/>
                <w:tcBorders>
                  <w:top w:val="nil"/>
                  <w:left w:val="nil"/>
                  <w:bottom w:val="nil"/>
                  <w:right w:val="nil"/>
                </w:tcBorders>
                <w:vAlign w:val="bottom"/>
              </w:tcPr>
              <w:p w14:paraId="57F037B4" w14:textId="77777777" w:rsidR="002B28F5" w:rsidRDefault="002B28F5">
                <w:pPr>
                  <w:pStyle w:val="FooterAgency"/>
                  <w:jc w:val="right"/>
                </w:pPr>
                <w:r>
                  <w:rPr>
                    <w:sz w:val="11"/>
                    <w:szCs w:val="11"/>
                  </w:rPr>
                  <w:t xml:space="preserve">An agency of the European </w:t>
                </w:r>
                <w:proofErr w:type="gramStart"/>
                <w:r>
                  <w:rPr>
                    <w:sz w:val="11"/>
                    <w:szCs w:val="11"/>
                  </w:rPr>
                  <w:t xml:space="preserve">Union  </w:t>
                </w:r>
                <w:proofErr w:type="gramEnd"/>
              </w:p>
            </w:tc>
            <w:tc>
              <w:tcPr>
                <w:tcW w:w="709" w:type="dxa"/>
                <w:vMerge w:val="restart"/>
                <w:tcBorders>
                  <w:top w:val="nil"/>
                  <w:left w:val="nil"/>
                  <w:bottom w:val="nil"/>
                  <w:right w:val="nil"/>
                </w:tcBorders>
                <w:tcMar>
                  <w:right w:w="6" w:type="dxa"/>
                </w:tcMar>
                <w:vAlign w:val="bottom"/>
              </w:tcPr>
              <w:p w14:paraId="3595D0C7" w14:textId="77777777" w:rsidR="002B28F5" w:rsidRDefault="00760CD3">
                <w:pPr>
                  <w:pStyle w:val="FooterAgency"/>
                  <w:jc w:val="right"/>
                </w:pPr>
                <w:r>
                  <w:pict w14:anchorId="506D7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pt;height:21pt">
                      <v:imagedata r:id="rId1" o:title="EU Logo"/>
                      <o:lock v:ext="edit" aspectratio="f"/>
                    </v:shape>
                  </w:pict>
                </w:r>
              </w:p>
            </w:tc>
          </w:tr>
          <w:tr w:rsidR="002B28F5" w14:paraId="73D80469" w14:textId="77777777">
            <w:trPr>
              <w:cantSplit/>
              <w:trHeight w:val="390"/>
              <w:jc w:val="right"/>
            </w:trPr>
            <w:tc>
              <w:tcPr>
                <w:tcW w:w="2478" w:type="dxa"/>
                <w:vMerge/>
                <w:vAlign w:val="bottom"/>
              </w:tcPr>
              <w:p w14:paraId="2C14187B" w14:textId="77777777" w:rsidR="002B28F5" w:rsidRDefault="002B28F5">
                <w:pPr>
                  <w:pStyle w:val="FooterAgency"/>
                </w:pPr>
              </w:p>
            </w:tc>
            <w:tc>
              <w:tcPr>
                <w:tcW w:w="709" w:type="dxa"/>
                <w:vMerge/>
                <w:vAlign w:val="bottom"/>
              </w:tcPr>
              <w:p w14:paraId="19FC01A6" w14:textId="77777777" w:rsidR="002B28F5" w:rsidRDefault="002B28F5">
                <w:pPr>
                  <w:pStyle w:val="FooterAgency"/>
                </w:pPr>
              </w:p>
            </w:tc>
          </w:tr>
        </w:tbl>
        <w:p w14:paraId="412E1872" w14:textId="77777777" w:rsidR="002B28F5" w:rsidRDefault="002B28F5">
          <w:pPr>
            <w:pStyle w:val="FooterAgency"/>
            <w:widowControl w:val="0"/>
            <w:adjustRightInd w:val="0"/>
            <w:jc w:val="right"/>
          </w:pPr>
        </w:p>
      </w:tc>
    </w:tr>
    <w:tr w:rsidR="002B28F5" w14:paraId="09973FDD" w14:textId="77777777">
      <w:trPr>
        <w:cantSplit/>
        <w:trHeight w:val="390"/>
      </w:trPr>
      <w:tc>
        <w:tcPr>
          <w:tcW w:w="6206" w:type="dxa"/>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522"/>
            <w:gridCol w:w="318"/>
            <w:gridCol w:w="1248"/>
            <w:gridCol w:w="400"/>
            <w:gridCol w:w="249"/>
            <w:gridCol w:w="477"/>
            <w:gridCol w:w="2767"/>
          </w:tblGrid>
          <w:tr w:rsidR="002B28F5" w14:paraId="3F7217F6" w14:textId="77777777">
            <w:trPr>
              <w:trHeight w:hRule="exact" w:val="198"/>
            </w:trPr>
            <w:tc>
              <w:tcPr>
                <w:tcW w:w="840" w:type="dxa"/>
                <w:gridSpan w:val="2"/>
                <w:vAlign w:val="bottom"/>
              </w:tcPr>
              <w:p w14:paraId="027344A3" w14:textId="77777777" w:rsidR="002B28F5" w:rsidRDefault="002B28F5">
                <w:pPr>
                  <w:pStyle w:val="FooterblueAgency"/>
                </w:pPr>
                <w:r>
                  <w:t>Telephone</w:t>
                </w:r>
              </w:p>
            </w:tc>
            <w:tc>
              <w:tcPr>
                <w:tcW w:w="1648" w:type="dxa"/>
                <w:gridSpan w:val="2"/>
                <w:vAlign w:val="bottom"/>
              </w:tcPr>
              <w:p w14:paraId="1B1CC4A9" w14:textId="77777777" w:rsidR="002B28F5" w:rsidRDefault="002B28F5">
                <w:pPr>
                  <w:pStyle w:val="FooterAgency"/>
                </w:pPr>
                <w:r>
                  <w:t>+44 (</w:t>
                </w:r>
                <w:proofErr w:type="gramStart"/>
                <w:r>
                  <w:t>0)20</w:t>
                </w:r>
                <w:proofErr w:type="gramEnd"/>
                <w:r>
                  <w:t xml:space="preserve"> 7418 8400</w:t>
                </w:r>
              </w:p>
            </w:tc>
            <w:tc>
              <w:tcPr>
                <w:tcW w:w="726" w:type="dxa"/>
                <w:gridSpan w:val="2"/>
                <w:vAlign w:val="bottom"/>
              </w:tcPr>
              <w:p w14:paraId="39B137A7" w14:textId="77777777" w:rsidR="002B28F5" w:rsidRDefault="002B28F5">
                <w:pPr>
                  <w:pStyle w:val="FooterblueAgency"/>
                </w:pPr>
                <w:r>
                  <w:t>Facsimile</w:t>
                </w:r>
              </w:p>
            </w:tc>
            <w:tc>
              <w:tcPr>
                <w:tcW w:w="2767" w:type="dxa"/>
                <w:vAlign w:val="bottom"/>
              </w:tcPr>
              <w:p w14:paraId="5EB0CB3F" w14:textId="77777777" w:rsidR="002B28F5" w:rsidRDefault="002B28F5">
                <w:pPr>
                  <w:pStyle w:val="FooterAgency"/>
                </w:pPr>
                <w:r>
                  <w:t>+44 (</w:t>
                </w:r>
                <w:proofErr w:type="gramStart"/>
                <w:r>
                  <w:t>0)20</w:t>
                </w:r>
                <w:proofErr w:type="gramEnd"/>
                <w:r>
                  <w:t xml:space="preserve"> 7418 8416</w:t>
                </w:r>
              </w:p>
            </w:tc>
          </w:tr>
          <w:tr w:rsidR="002B28F5" w14:paraId="6B65366C" w14:textId="77777777">
            <w:trPr>
              <w:trHeight w:hRule="exact" w:val="198"/>
            </w:trPr>
            <w:tc>
              <w:tcPr>
                <w:tcW w:w="522" w:type="dxa"/>
                <w:vAlign w:val="bottom"/>
              </w:tcPr>
              <w:p w14:paraId="170E1DAC" w14:textId="77777777" w:rsidR="002B28F5" w:rsidRDefault="002B28F5">
                <w:pPr>
                  <w:pStyle w:val="FooterblueAgency"/>
                </w:pPr>
                <w:r>
                  <w:t>E-mail</w:t>
                </w:r>
              </w:p>
            </w:tc>
            <w:tc>
              <w:tcPr>
                <w:tcW w:w="1566" w:type="dxa"/>
                <w:gridSpan w:val="2"/>
                <w:vAlign w:val="bottom"/>
              </w:tcPr>
              <w:p w14:paraId="13951924" w14:textId="77777777" w:rsidR="002B28F5" w:rsidRDefault="002B28F5">
                <w:pPr>
                  <w:pStyle w:val="FooterAgency"/>
                </w:pPr>
                <w:r>
                  <w:t>info@ema.europa.eu</w:t>
                </w:r>
              </w:p>
            </w:tc>
            <w:tc>
              <w:tcPr>
                <w:tcW w:w="649" w:type="dxa"/>
                <w:gridSpan w:val="2"/>
                <w:vAlign w:val="bottom"/>
              </w:tcPr>
              <w:p w14:paraId="59F242C2" w14:textId="77777777" w:rsidR="002B28F5" w:rsidRDefault="002B28F5">
                <w:pPr>
                  <w:pStyle w:val="FooterblueAgency"/>
                </w:pPr>
                <w:r>
                  <w:t>Website</w:t>
                </w:r>
              </w:p>
            </w:tc>
            <w:tc>
              <w:tcPr>
                <w:tcW w:w="3244" w:type="dxa"/>
                <w:gridSpan w:val="2"/>
                <w:vAlign w:val="bottom"/>
              </w:tcPr>
              <w:p w14:paraId="3DF7EDA9" w14:textId="77777777" w:rsidR="002B28F5" w:rsidRDefault="002B28F5">
                <w:pPr>
                  <w:pStyle w:val="FooterAgency"/>
                </w:pPr>
                <w:r>
                  <w:t>www.ema.europa.eu</w:t>
                </w:r>
              </w:p>
            </w:tc>
          </w:tr>
        </w:tbl>
        <w:p w14:paraId="24E5B8C2" w14:textId="77777777" w:rsidR="002B28F5" w:rsidRDefault="002B28F5">
          <w:pPr>
            <w:pStyle w:val="FooterAgency"/>
          </w:pPr>
        </w:p>
      </w:tc>
      <w:tc>
        <w:tcPr>
          <w:tcW w:w="3207" w:type="dxa"/>
          <w:vMerge/>
          <w:tcMar>
            <w:left w:w="0" w:type="dxa"/>
            <w:right w:w="0" w:type="dxa"/>
          </w:tcMar>
          <w:vAlign w:val="bottom"/>
        </w:tcPr>
        <w:p w14:paraId="1BEDB721" w14:textId="77777777" w:rsidR="002B28F5" w:rsidRDefault="002B28F5">
          <w:pPr>
            <w:pStyle w:val="FooterAgency"/>
          </w:pPr>
        </w:p>
      </w:tc>
    </w:tr>
    <w:tr w:rsidR="002B28F5" w14:paraId="797D357E" w14:textId="77777777">
      <w:tc>
        <w:tcPr>
          <w:tcW w:w="9413" w:type="dxa"/>
          <w:gridSpan w:val="2"/>
          <w:tcMar>
            <w:left w:w="0" w:type="dxa"/>
            <w:right w:w="0" w:type="dxa"/>
          </w:tcMar>
          <w:vAlign w:val="bottom"/>
        </w:tcPr>
        <w:p w14:paraId="0A79B0B8" w14:textId="77777777" w:rsidR="002B28F5" w:rsidRDefault="002B28F5">
          <w:pPr>
            <w:pStyle w:val="FooterAgency"/>
          </w:pPr>
        </w:p>
      </w:tc>
    </w:tr>
    <w:tr w:rsidR="002B28F5" w14:paraId="0E66308A" w14:textId="77777777">
      <w:tc>
        <w:tcPr>
          <w:tcW w:w="9413" w:type="dxa"/>
          <w:gridSpan w:val="2"/>
          <w:tcMar>
            <w:left w:w="0" w:type="dxa"/>
            <w:right w:w="0" w:type="dxa"/>
          </w:tcMar>
          <w:vAlign w:val="bottom"/>
        </w:tcPr>
        <w:p w14:paraId="537A1AE2" w14:textId="77777777" w:rsidR="002B28F5" w:rsidRDefault="002B28F5">
          <w:pPr>
            <w:pStyle w:val="FooterAgency"/>
            <w:jc w:val="center"/>
          </w:pPr>
        </w:p>
      </w:tc>
    </w:tr>
  </w:tbl>
  <w:p w14:paraId="0160C8D9" w14:textId="77777777" w:rsidR="002B28F5" w:rsidRDefault="002B28F5">
    <w:pPr>
      <w:pStyle w:val="FooterAgency"/>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94542" w14:textId="77777777" w:rsidR="002B28F5" w:rsidRDefault="002B28F5">
      <w:r>
        <w:separator/>
      </w:r>
    </w:p>
  </w:footnote>
  <w:footnote w:type="continuationSeparator" w:id="0">
    <w:p w14:paraId="00EF4443" w14:textId="77777777" w:rsidR="002B28F5" w:rsidRDefault="002B28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CB405" w14:textId="77777777" w:rsidR="002B28F5" w:rsidRDefault="00760CD3">
    <w:pPr>
      <w:pStyle w:val="FooterAgency"/>
      <w:jc w:val="center"/>
    </w:pPr>
    <w:r>
      <w:pict w14:anchorId="12869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pt;height:142pt">
          <v:imagedata r:id="rId1" o:title="Logo MSWord"/>
        </v:shape>
      </w:pict>
    </w:r>
    <w:r w:rsidR="002B28F5">
      <w:rPr>
        <w:vanish/>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hdrShapeDefaults>
    <o:shapedefaults v:ext="edit" spidmax="614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F69"/>
    <w:rsid w:val="001A5A45"/>
    <w:rsid w:val="002B1DB0"/>
    <w:rsid w:val="002B28F5"/>
    <w:rsid w:val="00512AFD"/>
    <w:rsid w:val="005775EF"/>
    <w:rsid w:val="00583C18"/>
    <w:rsid w:val="0066606B"/>
    <w:rsid w:val="006E3B72"/>
    <w:rsid w:val="00724693"/>
    <w:rsid w:val="0073752C"/>
    <w:rsid w:val="007518F0"/>
    <w:rsid w:val="00760CD3"/>
    <w:rsid w:val="007C648F"/>
    <w:rsid w:val="00B37C59"/>
    <w:rsid w:val="00D0162F"/>
    <w:rsid w:val="00DB20F7"/>
    <w:rsid w:val="00DF2F69"/>
    <w:rsid w:val="00E612AB"/>
    <w:rsid w:val="00E83B2C"/>
    <w:rsid w:val="00F96F2B"/>
    <w:rsid w:val="00FA5D79"/>
    <w:rsid w:val="00FC0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8"/>
    <o:shapelayout v:ext="edit">
      <o:idmap v:ext="edit" data="1"/>
    </o:shapelayout>
  </w:shapeDefaults>
  <w:decimalSymbol w:val=","/>
  <w:listSeparator w:val=";"/>
  <w14:docId w14:val="585517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F69"/>
    <w:rPr>
      <w:rFonts w:ascii="Verdana" w:eastAsia="SimSun" w:hAnsi="Verdana" w:cs="Verdana"/>
      <w:sz w:val="18"/>
      <w:szCs w:val="1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Agency">
    <w:name w:val="Body text (Agency)"/>
    <w:basedOn w:val="Normal"/>
    <w:rsid w:val="00DF2F69"/>
    <w:pPr>
      <w:spacing w:after="140" w:line="280" w:lineRule="atLeast"/>
    </w:pPr>
    <w:rPr>
      <w:rFonts w:eastAsia="Verdana"/>
      <w:lang w:eastAsia="en-GB"/>
    </w:rPr>
  </w:style>
  <w:style w:type="paragraph" w:customStyle="1" w:styleId="Heading3Agency">
    <w:name w:val="Heading 3 (Agency)"/>
    <w:basedOn w:val="Normal"/>
    <w:next w:val="BodytextAgency"/>
    <w:rsid w:val="00DF2F69"/>
    <w:pPr>
      <w:keepNext/>
      <w:numPr>
        <w:ilvl w:val="2"/>
        <w:numId w:val="1"/>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rsid w:val="00DF2F69"/>
    <w:pPr>
      <w:numPr>
        <w:ilvl w:val="3"/>
      </w:numPr>
      <w:outlineLvl w:val="3"/>
    </w:pPr>
    <w:rPr>
      <w:i/>
      <w:sz w:val="18"/>
      <w:szCs w:val="18"/>
    </w:rPr>
  </w:style>
  <w:style w:type="paragraph" w:customStyle="1" w:styleId="Heading5Agency">
    <w:name w:val="Heading 5 (Agency)"/>
    <w:basedOn w:val="Heading4Agency"/>
    <w:next w:val="BodytextAgency"/>
    <w:semiHidden/>
    <w:rsid w:val="00DF2F69"/>
    <w:pPr>
      <w:numPr>
        <w:ilvl w:val="4"/>
      </w:numPr>
      <w:outlineLvl w:val="4"/>
    </w:pPr>
    <w:rPr>
      <w:i w:val="0"/>
    </w:rPr>
  </w:style>
  <w:style w:type="paragraph" w:styleId="Footer">
    <w:name w:val="footer"/>
    <w:basedOn w:val="Normal"/>
    <w:link w:val="FooterChar"/>
    <w:semiHidden/>
    <w:rsid w:val="00DF2F69"/>
    <w:pPr>
      <w:tabs>
        <w:tab w:val="center" w:pos="4536"/>
        <w:tab w:val="right" w:pos="8306"/>
      </w:tabs>
    </w:pPr>
    <w:rPr>
      <w:rFonts w:ascii="Arial" w:eastAsia="Times New Roman" w:hAnsi="Arial"/>
      <w:noProof/>
      <w:sz w:val="16"/>
      <w:szCs w:val="20"/>
      <w:lang w:eastAsia="en-US"/>
    </w:rPr>
  </w:style>
  <w:style w:type="character" w:customStyle="1" w:styleId="FooterChar">
    <w:name w:val="Footer Char"/>
    <w:basedOn w:val="DefaultParagraphFont"/>
    <w:link w:val="Footer"/>
    <w:semiHidden/>
    <w:rsid w:val="00DF2F69"/>
    <w:rPr>
      <w:rFonts w:ascii="Arial" w:eastAsia="Times New Roman" w:hAnsi="Arial" w:cs="Verdana"/>
      <w:noProof/>
      <w:sz w:val="16"/>
      <w:szCs w:val="20"/>
      <w:lang w:val="en-GB"/>
    </w:rPr>
  </w:style>
  <w:style w:type="character" w:styleId="PageNumber">
    <w:name w:val="page number"/>
    <w:basedOn w:val="DefaultParagraphFont"/>
    <w:semiHidden/>
    <w:rsid w:val="00DF2F69"/>
  </w:style>
  <w:style w:type="paragraph" w:customStyle="1" w:styleId="FooterAgency">
    <w:name w:val="Footer (Agency)"/>
    <w:basedOn w:val="Normal"/>
    <w:semiHidden/>
    <w:rsid w:val="00DF2F69"/>
    <w:rPr>
      <w:rFonts w:eastAsia="Verdana"/>
      <w:color w:val="6D6F71"/>
      <w:sz w:val="14"/>
      <w:szCs w:val="14"/>
      <w:lang w:eastAsia="en-GB"/>
    </w:rPr>
  </w:style>
  <w:style w:type="paragraph" w:customStyle="1" w:styleId="FooterblueAgency">
    <w:name w:val="Footer blue (Agency)"/>
    <w:basedOn w:val="Normal"/>
    <w:semiHidden/>
    <w:rsid w:val="00DF2F69"/>
    <w:rPr>
      <w:rFonts w:eastAsia="Verdana"/>
      <w:b/>
      <w:color w:val="003399"/>
      <w:sz w:val="13"/>
      <w:szCs w:val="14"/>
      <w:lang w:eastAsia="en-GB"/>
    </w:rPr>
  </w:style>
  <w:style w:type="paragraph" w:customStyle="1" w:styleId="PagenumberAgency">
    <w:name w:val="Page number (Agency)"/>
    <w:basedOn w:val="Normal"/>
    <w:next w:val="Normal"/>
    <w:semiHidden/>
    <w:rsid w:val="00DF2F69"/>
    <w:pPr>
      <w:tabs>
        <w:tab w:val="right" w:pos="9781"/>
      </w:tabs>
      <w:jc w:val="right"/>
    </w:pPr>
    <w:rPr>
      <w:rFonts w:eastAsia="Verdana"/>
      <w:color w:val="6D6F71"/>
      <w:sz w:val="14"/>
      <w:szCs w:val="14"/>
      <w:lang w:eastAsia="en-GB"/>
    </w:rPr>
  </w:style>
  <w:style w:type="character" w:customStyle="1" w:styleId="FooterblueAgencyCharChar">
    <w:name w:val="Footer blue (Agency) Char Char"/>
    <w:semiHidden/>
    <w:rsid w:val="00DF2F69"/>
    <w:rPr>
      <w:rFonts w:ascii="Verdana" w:eastAsia="Verdana" w:hAnsi="Verdana" w:cs="Verdana"/>
      <w:b/>
      <w:color w:val="003399"/>
      <w:sz w:val="13"/>
      <w:szCs w:val="14"/>
      <w:lang w:val="en-GB" w:eastAsia="en-GB" w:bidi="ar-SA"/>
    </w:rPr>
  </w:style>
  <w:style w:type="paragraph" w:customStyle="1" w:styleId="DocsubtitleAgency">
    <w:name w:val="Doc subtitle (Agency)"/>
    <w:basedOn w:val="Normal"/>
    <w:next w:val="BodytextAgency"/>
    <w:rsid w:val="00DF2F69"/>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DF2F69"/>
    <w:pPr>
      <w:spacing w:before="720" w:line="360" w:lineRule="atLeast"/>
    </w:pPr>
    <w:rPr>
      <w:rFonts w:eastAsia="Verdana"/>
      <w:color w:val="003399"/>
      <w:sz w:val="32"/>
      <w:szCs w:val="32"/>
      <w:lang w:eastAsia="en-GB"/>
    </w:rPr>
  </w:style>
  <w:style w:type="paragraph" w:customStyle="1" w:styleId="Heading1Agency">
    <w:name w:val="Heading 1 (Agency)"/>
    <w:basedOn w:val="Normal"/>
    <w:next w:val="BodytextAgency"/>
    <w:rsid w:val="00DF2F69"/>
    <w:pPr>
      <w:keepNext/>
      <w:numPr>
        <w:numId w:val="1"/>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DF2F69"/>
    <w:pPr>
      <w:keepNext/>
      <w:numPr>
        <w:ilvl w:val="1"/>
        <w:numId w:val="1"/>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DF2F69"/>
    <w:pPr>
      <w:numPr>
        <w:ilvl w:val="5"/>
      </w:numPr>
      <w:outlineLvl w:val="5"/>
    </w:pPr>
  </w:style>
  <w:style w:type="paragraph" w:customStyle="1" w:styleId="Heading7Agency">
    <w:name w:val="Heading 7 (Agency)"/>
    <w:basedOn w:val="Heading6Agency"/>
    <w:next w:val="BodytextAgency"/>
    <w:semiHidden/>
    <w:rsid w:val="00DF2F69"/>
    <w:pPr>
      <w:numPr>
        <w:ilvl w:val="6"/>
      </w:numPr>
      <w:outlineLvl w:val="6"/>
    </w:pPr>
  </w:style>
  <w:style w:type="paragraph" w:customStyle="1" w:styleId="Heading8Agency">
    <w:name w:val="Heading 8 (Agency)"/>
    <w:basedOn w:val="Heading7Agency"/>
    <w:next w:val="BodytextAgency"/>
    <w:semiHidden/>
    <w:rsid w:val="00DF2F69"/>
    <w:pPr>
      <w:numPr>
        <w:ilvl w:val="7"/>
      </w:numPr>
      <w:outlineLvl w:val="7"/>
    </w:pPr>
  </w:style>
  <w:style w:type="paragraph" w:customStyle="1" w:styleId="Heading9Agency">
    <w:name w:val="Heading 9 (Agency)"/>
    <w:basedOn w:val="Heading8Agency"/>
    <w:next w:val="BodytextAgency"/>
    <w:semiHidden/>
    <w:rsid w:val="00DF2F69"/>
    <w:pPr>
      <w:numPr>
        <w:ilvl w:val="8"/>
      </w:numPr>
      <w:outlineLvl w:val="8"/>
    </w:pPr>
  </w:style>
  <w:style w:type="paragraph" w:customStyle="1" w:styleId="No-TOCheadingAgency">
    <w:name w:val="No-TOC heading (Agency)"/>
    <w:basedOn w:val="Normal"/>
    <w:next w:val="Normal"/>
    <w:rsid w:val="00DF2F69"/>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DF2F69"/>
    <w:rPr>
      <w:rFonts w:eastAsia="Times New Roman" w:cs="Times New Roman"/>
      <w:sz w:val="17"/>
      <w:lang w:eastAsia="en-GB"/>
    </w:rPr>
  </w:style>
  <w:style w:type="paragraph" w:customStyle="1" w:styleId="TableheadingrowsAgency">
    <w:name w:val="Table heading rows (Agency)"/>
    <w:basedOn w:val="BodytextAgency"/>
    <w:semiHidden/>
    <w:rsid w:val="00DF2F69"/>
    <w:pPr>
      <w:keepNext/>
    </w:pPr>
    <w:rPr>
      <w:rFonts w:eastAsia="Times New Roman"/>
      <w:b/>
    </w:rPr>
  </w:style>
  <w:style w:type="paragraph" w:customStyle="1" w:styleId="TabletextrowsAgency">
    <w:name w:val="Table text rows (Agency)"/>
    <w:basedOn w:val="Normal"/>
    <w:rsid w:val="00DF2F69"/>
    <w:pPr>
      <w:spacing w:line="280" w:lineRule="exact"/>
    </w:pPr>
    <w:rPr>
      <w:rFonts w:eastAsia="Times New Roman"/>
    </w:rPr>
  </w:style>
  <w:style w:type="paragraph" w:customStyle="1" w:styleId="TableFigurenoteAgency">
    <w:name w:val="Table/Figure note (Agency)"/>
    <w:basedOn w:val="BodytextAgency"/>
    <w:next w:val="BodytextAgency"/>
    <w:rsid w:val="00DF2F69"/>
    <w:pPr>
      <w:spacing w:before="60" w:after="240" w:line="240" w:lineRule="auto"/>
    </w:pPr>
    <w:rPr>
      <w:sz w:val="16"/>
      <w:szCs w:val="16"/>
    </w:rPr>
  </w:style>
  <w:style w:type="paragraph" w:customStyle="1" w:styleId="Default">
    <w:name w:val="Default"/>
    <w:rsid w:val="00DF2F69"/>
    <w:pPr>
      <w:autoSpaceDE w:val="0"/>
      <w:autoSpaceDN w:val="0"/>
      <w:adjustRightInd w:val="0"/>
    </w:pPr>
    <w:rPr>
      <w:rFonts w:ascii="Verdana" w:eastAsia="SimSun" w:hAnsi="Verdana" w:cs="Verdana"/>
      <w:color w:val="00000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F69"/>
    <w:rPr>
      <w:rFonts w:ascii="Verdana" w:eastAsia="SimSun" w:hAnsi="Verdana" w:cs="Verdana"/>
      <w:sz w:val="18"/>
      <w:szCs w:val="1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Agency">
    <w:name w:val="Body text (Agency)"/>
    <w:basedOn w:val="Normal"/>
    <w:rsid w:val="00DF2F69"/>
    <w:pPr>
      <w:spacing w:after="140" w:line="280" w:lineRule="atLeast"/>
    </w:pPr>
    <w:rPr>
      <w:rFonts w:eastAsia="Verdana"/>
      <w:lang w:eastAsia="en-GB"/>
    </w:rPr>
  </w:style>
  <w:style w:type="paragraph" w:customStyle="1" w:styleId="Heading3Agency">
    <w:name w:val="Heading 3 (Agency)"/>
    <w:basedOn w:val="Normal"/>
    <w:next w:val="BodytextAgency"/>
    <w:rsid w:val="00DF2F69"/>
    <w:pPr>
      <w:keepNext/>
      <w:numPr>
        <w:ilvl w:val="2"/>
        <w:numId w:val="1"/>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rsid w:val="00DF2F69"/>
    <w:pPr>
      <w:numPr>
        <w:ilvl w:val="3"/>
      </w:numPr>
      <w:outlineLvl w:val="3"/>
    </w:pPr>
    <w:rPr>
      <w:i/>
      <w:sz w:val="18"/>
      <w:szCs w:val="18"/>
    </w:rPr>
  </w:style>
  <w:style w:type="paragraph" w:customStyle="1" w:styleId="Heading5Agency">
    <w:name w:val="Heading 5 (Agency)"/>
    <w:basedOn w:val="Heading4Agency"/>
    <w:next w:val="BodytextAgency"/>
    <w:semiHidden/>
    <w:rsid w:val="00DF2F69"/>
    <w:pPr>
      <w:numPr>
        <w:ilvl w:val="4"/>
      </w:numPr>
      <w:outlineLvl w:val="4"/>
    </w:pPr>
    <w:rPr>
      <w:i w:val="0"/>
    </w:rPr>
  </w:style>
  <w:style w:type="paragraph" w:styleId="Footer">
    <w:name w:val="footer"/>
    <w:basedOn w:val="Normal"/>
    <w:link w:val="FooterChar"/>
    <w:semiHidden/>
    <w:rsid w:val="00DF2F69"/>
    <w:pPr>
      <w:tabs>
        <w:tab w:val="center" w:pos="4536"/>
        <w:tab w:val="right" w:pos="8306"/>
      </w:tabs>
    </w:pPr>
    <w:rPr>
      <w:rFonts w:ascii="Arial" w:eastAsia="Times New Roman" w:hAnsi="Arial"/>
      <w:noProof/>
      <w:sz w:val="16"/>
      <w:szCs w:val="20"/>
      <w:lang w:eastAsia="en-US"/>
    </w:rPr>
  </w:style>
  <w:style w:type="character" w:customStyle="1" w:styleId="FooterChar">
    <w:name w:val="Footer Char"/>
    <w:basedOn w:val="DefaultParagraphFont"/>
    <w:link w:val="Footer"/>
    <w:semiHidden/>
    <w:rsid w:val="00DF2F69"/>
    <w:rPr>
      <w:rFonts w:ascii="Arial" w:eastAsia="Times New Roman" w:hAnsi="Arial" w:cs="Verdana"/>
      <w:noProof/>
      <w:sz w:val="16"/>
      <w:szCs w:val="20"/>
      <w:lang w:val="en-GB"/>
    </w:rPr>
  </w:style>
  <w:style w:type="character" w:styleId="PageNumber">
    <w:name w:val="page number"/>
    <w:basedOn w:val="DefaultParagraphFont"/>
    <w:semiHidden/>
    <w:rsid w:val="00DF2F69"/>
  </w:style>
  <w:style w:type="paragraph" w:customStyle="1" w:styleId="FooterAgency">
    <w:name w:val="Footer (Agency)"/>
    <w:basedOn w:val="Normal"/>
    <w:semiHidden/>
    <w:rsid w:val="00DF2F69"/>
    <w:rPr>
      <w:rFonts w:eastAsia="Verdana"/>
      <w:color w:val="6D6F71"/>
      <w:sz w:val="14"/>
      <w:szCs w:val="14"/>
      <w:lang w:eastAsia="en-GB"/>
    </w:rPr>
  </w:style>
  <w:style w:type="paragraph" w:customStyle="1" w:styleId="FooterblueAgency">
    <w:name w:val="Footer blue (Agency)"/>
    <w:basedOn w:val="Normal"/>
    <w:semiHidden/>
    <w:rsid w:val="00DF2F69"/>
    <w:rPr>
      <w:rFonts w:eastAsia="Verdana"/>
      <w:b/>
      <w:color w:val="003399"/>
      <w:sz w:val="13"/>
      <w:szCs w:val="14"/>
      <w:lang w:eastAsia="en-GB"/>
    </w:rPr>
  </w:style>
  <w:style w:type="paragraph" w:customStyle="1" w:styleId="PagenumberAgency">
    <w:name w:val="Page number (Agency)"/>
    <w:basedOn w:val="Normal"/>
    <w:next w:val="Normal"/>
    <w:semiHidden/>
    <w:rsid w:val="00DF2F69"/>
    <w:pPr>
      <w:tabs>
        <w:tab w:val="right" w:pos="9781"/>
      </w:tabs>
      <w:jc w:val="right"/>
    </w:pPr>
    <w:rPr>
      <w:rFonts w:eastAsia="Verdana"/>
      <w:color w:val="6D6F71"/>
      <w:sz w:val="14"/>
      <w:szCs w:val="14"/>
      <w:lang w:eastAsia="en-GB"/>
    </w:rPr>
  </w:style>
  <w:style w:type="character" w:customStyle="1" w:styleId="FooterblueAgencyCharChar">
    <w:name w:val="Footer blue (Agency) Char Char"/>
    <w:semiHidden/>
    <w:rsid w:val="00DF2F69"/>
    <w:rPr>
      <w:rFonts w:ascii="Verdana" w:eastAsia="Verdana" w:hAnsi="Verdana" w:cs="Verdana"/>
      <w:b/>
      <w:color w:val="003399"/>
      <w:sz w:val="13"/>
      <w:szCs w:val="14"/>
      <w:lang w:val="en-GB" w:eastAsia="en-GB" w:bidi="ar-SA"/>
    </w:rPr>
  </w:style>
  <w:style w:type="paragraph" w:customStyle="1" w:styleId="DocsubtitleAgency">
    <w:name w:val="Doc subtitle (Agency)"/>
    <w:basedOn w:val="Normal"/>
    <w:next w:val="BodytextAgency"/>
    <w:rsid w:val="00DF2F69"/>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DF2F69"/>
    <w:pPr>
      <w:spacing w:before="720" w:line="360" w:lineRule="atLeast"/>
    </w:pPr>
    <w:rPr>
      <w:rFonts w:eastAsia="Verdana"/>
      <w:color w:val="003399"/>
      <w:sz w:val="32"/>
      <w:szCs w:val="32"/>
      <w:lang w:eastAsia="en-GB"/>
    </w:rPr>
  </w:style>
  <w:style w:type="paragraph" w:customStyle="1" w:styleId="Heading1Agency">
    <w:name w:val="Heading 1 (Agency)"/>
    <w:basedOn w:val="Normal"/>
    <w:next w:val="BodytextAgency"/>
    <w:rsid w:val="00DF2F69"/>
    <w:pPr>
      <w:keepNext/>
      <w:numPr>
        <w:numId w:val="1"/>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DF2F69"/>
    <w:pPr>
      <w:keepNext/>
      <w:numPr>
        <w:ilvl w:val="1"/>
        <w:numId w:val="1"/>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DF2F69"/>
    <w:pPr>
      <w:numPr>
        <w:ilvl w:val="5"/>
      </w:numPr>
      <w:outlineLvl w:val="5"/>
    </w:pPr>
  </w:style>
  <w:style w:type="paragraph" w:customStyle="1" w:styleId="Heading7Agency">
    <w:name w:val="Heading 7 (Agency)"/>
    <w:basedOn w:val="Heading6Agency"/>
    <w:next w:val="BodytextAgency"/>
    <w:semiHidden/>
    <w:rsid w:val="00DF2F69"/>
    <w:pPr>
      <w:numPr>
        <w:ilvl w:val="6"/>
      </w:numPr>
      <w:outlineLvl w:val="6"/>
    </w:pPr>
  </w:style>
  <w:style w:type="paragraph" w:customStyle="1" w:styleId="Heading8Agency">
    <w:name w:val="Heading 8 (Agency)"/>
    <w:basedOn w:val="Heading7Agency"/>
    <w:next w:val="BodytextAgency"/>
    <w:semiHidden/>
    <w:rsid w:val="00DF2F69"/>
    <w:pPr>
      <w:numPr>
        <w:ilvl w:val="7"/>
      </w:numPr>
      <w:outlineLvl w:val="7"/>
    </w:pPr>
  </w:style>
  <w:style w:type="paragraph" w:customStyle="1" w:styleId="Heading9Agency">
    <w:name w:val="Heading 9 (Agency)"/>
    <w:basedOn w:val="Heading8Agency"/>
    <w:next w:val="BodytextAgency"/>
    <w:semiHidden/>
    <w:rsid w:val="00DF2F69"/>
    <w:pPr>
      <w:numPr>
        <w:ilvl w:val="8"/>
      </w:numPr>
      <w:outlineLvl w:val="8"/>
    </w:pPr>
  </w:style>
  <w:style w:type="paragraph" w:customStyle="1" w:styleId="No-TOCheadingAgency">
    <w:name w:val="No-TOC heading (Agency)"/>
    <w:basedOn w:val="Normal"/>
    <w:next w:val="Normal"/>
    <w:rsid w:val="00DF2F69"/>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DF2F69"/>
    <w:rPr>
      <w:rFonts w:eastAsia="Times New Roman" w:cs="Times New Roman"/>
      <w:sz w:val="17"/>
      <w:lang w:eastAsia="en-GB"/>
    </w:rPr>
  </w:style>
  <w:style w:type="paragraph" w:customStyle="1" w:styleId="TableheadingrowsAgency">
    <w:name w:val="Table heading rows (Agency)"/>
    <w:basedOn w:val="BodytextAgency"/>
    <w:semiHidden/>
    <w:rsid w:val="00DF2F69"/>
    <w:pPr>
      <w:keepNext/>
    </w:pPr>
    <w:rPr>
      <w:rFonts w:eastAsia="Times New Roman"/>
      <w:b/>
    </w:rPr>
  </w:style>
  <w:style w:type="paragraph" w:customStyle="1" w:styleId="TabletextrowsAgency">
    <w:name w:val="Table text rows (Agency)"/>
    <w:basedOn w:val="Normal"/>
    <w:rsid w:val="00DF2F69"/>
    <w:pPr>
      <w:spacing w:line="280" w:lineRule="exact"/>
    </w:pPr>
    <w:rPr>
      <w:rFonts w:eastAsia="Times New Roman"/>
    </w:rPr>
  </w:style>
  <w:style w:type="paragraph" w:customStyle="1" w:styleId="TableFigurenoteAgency">
    <w:name w:val="Table/Figure note (Agency)"/>
    <w:basedOn w:val="BodytextAgency"/>
    <w:next w:val="BodytextAgency"/>
    <w:rsid w:val="00DF2F69"/>
    <w:pPr>
      <w:spacing w:before="60" w:after="240" w:line="240" w:lineRule="auto"/>
    </w:pPr>
    <w:rPr>
      <w:sz w:val="16"/>
      <w:szCs w:val="16"/>
    </w:rPr>
  </w:style>
  <w:style w:type="paragraph" w:customStyle="1" w:styleId="Default">
    <w:name w:val="Default"/>
    <w:rsid w:val="00DF2F69"/>
    <w:pPr>
      <w:autoSpaceDE w:val="0"/>
      <w:autoSpaceDN w:val="0"/>
      <w:adjustRightInd w:val="0"/>
    </w:pPr>
    <w:rPr>
      <w:rFonts w:ascii="Verdana" w:eastAsia="SimSun" w:hAnsi="Verdana" w:cs="Verdana"/>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1456</Words>
  <Characters>8301</Characters>
  <Application>Microsoft Macintosh Word</Application>
  <DocSecurity>0</DocSecurity>
  <Lines>69</Lines>
  <Paragraphs>19</Paragraphs>
  <ScaleCrop>false</ScaleCrop>
  <Company/>
  <LinksUpToDate>false</LinksUpToDate>
  <CharactersWithSpaces>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Efpia</dc:creator>
  <cp:keywords/>
  <dc:description/>
  <cp:lastModifiedBy>Efpia</cp:lastModifiedBy>
  <cp:revision>4</cp:revision>
  <dcterms:created xsi:type="dcterms:W3CDTF">2018-05-15T10:41:00Z</dcterms:created>
  <dcterms:modified xsi:type="dcterms:W3CDTF">2018-05-15T10:43:00Z</dcterms:modified>
</cp:coreProperties>
</file>