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7E2A2" w14:textId="22BDE137" w:rsidR="00562778" w:rsidRDefault="0069573F" w:rsidP="00562778">
      <w:pPr>
        <w:rPr>
          <w:b/>
          <w:color w:val="31808B"/>
          <w:sz w:val="32"/>
          <w:szCs w:val="32"/>
        </w:rPr>
      </w:pPr>
      <w:r>
        <w:rPr>
          <w:b/>
          <w:color w:val="31808B"/>
          <w:sz w:val="32"/>
          <w:szCs w:val="32"/>
        </w:rPr>
        <w:t xml:space="preserve">EFPIA </w:t>
      </w:r>
      <w:r w:rsidR="00CD53D1">
        <w:rPr>
          <w:b/>
          <w:color w:val="31808B"/>
          <w:sz w:val="32"/>
          <w:szCs w:val="32"/>
        </w:rPr>
        <w:t>r</w:t>
      </w:r>
      <w:r w:rsidR="00AE094A">
        <w:rPr>
          <w:b/>
          <w:color w:val="31808B"/>
          <w:sz w:val="32"/>
          <w:szCs w:val="32"/>
        </w:rPr>
        <w:t>esponse to</w:t>
      </w:r>
      <w:bookmarkStart w:id="0" w:name="_GoBack"/>
      <w:bookmarkEnd w:id="0"/>
      <w:r w:rsidR="00AE094A">
        <w:rPr>
          <w:b/>
          <w:color w:val="31808B"/>
          <w:sz w:val="32"/>
          <w:szCs w:val="32"/>
        </w:rPr>
        <w:t xml:space="preserve"> </w:t>
      </w:r>
      <w:proofErr w:type="spellStart"/>
      <w:r w:rsidR="00102F01">
        <w:rPr>
          <w:b/>
          <w:color w:val="31808B"/>
          <w:sz w:val="32"/>
          <w:szCs w:val="32"/>
        </w:rPr>
        <w:t>Pharmeuropa</w:t>
      </w:r>
      <w:proofErr w:type="spellEnd"/>
      <w:r w:rsidR="00102F01">
        <w:rPr>
          <w:b/>
          <w:color w:val="31808B"/>
          <w:sz w:val="32"/>
          <w:szCs w:val="32"/>
        </w:rPr>
        <w:t xml:space="preserve"> Issue 32.2 </w:t>
      </w:r>
      <w:r w:rsidR="00AE094A">
        <w:rPr>
          <w:b/>
          <w:color w:val="31808B"/>
          <w:sz w:val="32"/>
          <w:szCs w:val="32"/>
        </w:rPr>
        <w:t>propos</w:t>
      </w:r>
      <w:r w:rsidR="00102F01">
        <w:rPr>
          <w:b/>
          <w:color w:val="31808B"/>
          <w:sz w:val="32"/>
          <w:szCs w:val="32"/>
        </w:rPr>
        <w:t>al for</w:t>
      </w:r>
      <w:r w:rsidR="00AE094A">
        <w:rPr>
          <w:b/>
          <w:color w:val="31808B"/>
          <w:sz w:val="32"/>
          <w:szCs w:val="32"/>
        </w:rPr>
        <w:t xml:space="preserve"> </w:t>
      </w:r>
      <w:r w:rsidR="00102F01">
        <w:rPr>
          <w:b/>
          <w:color w:val="31808B"/>
          <w:sz w:val="32"/>
          <w:szCs w:val="32"/>
        </w:rPr>
        <w:t>chapter 2.4.36</w:t>
      </w:r>
      <w:r w:rsidR="00AE094A">
        <w:rPr>
          <w:b/>
          <w:color w:val="31808B"/>
          <w:sz w:val="32"/>
          <w:szCs w:val="32"/>
        </w:rPr>
        <w:t xml:space="preserve"> ‘</w:t>
      </w:r>
      <w:r w:rsidR="00134A89">
        <w:rPr>
          <w:b/>
          <w:color w:val="31808B"/>
          <w:sz w:val="32"/>
          <w:szCs w:val="32"/>
        </w:rPr>
        <w:t>N-Nitrosamines in Active Substances</w:t>
      </w:r>
      <w:r w:rsidR="00AE094A">
        <w:rPr>
          <w:b/>
          <w:color w:val="31808B"/>
          <w:sz w:val="32"/>
          <w:szCs w:val="32"/>
        </w:rPr>
        <w:t>’</w:t>
      </w:r>
    </w:p>
    <w:p w14:paraId="694AADE5" w14:textId="3ED32DD6" w:rsidR="00AE094A" w:rsidRDefault="00AE094A" w:rsidP="00D26C35">
      <w:pPr>
        <w:tabs>
          <w:tab w:val="left" w:pos="1454"/>
          <w:tab w:val="right" w:pos="4859"/>
        </w:tabs>
        <w:jc w:val="both"/>
        <w:rPr>
          <w:rStyle w:val="Heading1Char"/>
          <w:rFonts w:asciiTheme="minorHAnsi" w:hAnsiTheme="minorHAnsi"/>
          <w:color w:val="31808B"/>
          <w:sz w:val="22"/>
          <w:szCs w:val="22"/>
        </w:rPr>
      </w:pPr>
      <w:r w:rsidRPr="00285B24">
        <w:rPr>
          <w:rStyle w:val="Heading1Char"/>
          <w:rFonts w:asciiTheme="minorHAnsi" w:hAnsiTheme="minorHAnsi"/>
          <w:color w:val="31808B"/>
          <w:sz w:val="22"/>
          <w:szCs w:val="22"/>
        </w:rPr>
        <w:t xml:space="preserve">Reference: </w:t>
      </w:r>
      <w:r w:rsidR="00134A89" w:rsidRPr="00134A89">
        <w:rPr>
          <w:rStyle w:val="Heading1Char"/>
          <w:rFonts w:asciiTheme="minorHAnsi" w:hAnsiTheme="minorHAnsi"/>
          <w:color w:val="31808B"/>
          <w:sz w:val="22"/>
          <w:szCs w:val="22"/>
        </w:rPr>
        <w:t>PA/PH/Exp. MG/T (19) 23 ANP</w:t>
      </w:r>
    </w:p>
    <w:p w14:paraId="76D2505E" w14:textId="5F1519A1" w:rsidR="00D26C35" w:rsidRPr="00DA51ED" w:rsidRDefault="00D26C35" w:rsidP="00D26C35">
      <w:pPr>
        <w:tabs>
          <w:tab w:val="left" w:pos="1454"/>
          <w:tab w:val="right" w:pos="4859"/>
        </w:tabs>
        <w:jc w:val="both"/>
        <w:rPr>
          <w:bCs/>
        </w:rPr>
      </w:pPr>
      <w:r w:rsidRPr="00DA51ED">
        <w:rPr>
          <w:b/>
          <w:bCs/>
          <w:noProof/>
          <w:color w:val="31808B"/>
          <w:lang w:eastAsia="en-GB"/>
        </w:rPr>
        <w:drawing>
          <wp:inline distT="0" distB="0" distL="0" distR="0" wp14:anchorId="7D62284C" wp14:editId="39B0D915">
            <wp:extent cx="114913" cy="11793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r.png"/>
                    <pic:cNvPicPr/>
                  </pic:nvPicPr>
                  <pic:blipFill rotWithShape="1">
                    <a:blip r:embed="rId12"/>
                    <a:srcRect t="-6105" b="6105"/>
                    <a:stretch/>
                  </pic:blipFill>
                  <pic:spPr>
                    <a:xfrm>
                      <a:off x="0" y="0"/>
                      <a:ext cx="114913" cy="117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51ED">
        <w:rPr>
          <w:b/>
          <w:bCs/>
          <w:color w:val="31808B"/>
        </w:rPr>
        <w:t xml:space="preserve"> </w:t>
      </w:r>
      <w:r w:rsidRPr="00D26C35">
        <w:rPr>
          <w:rStyle w:val="Heading1Char"/>
          <w:rFonts w:asciiTheme="minorHAnsi" w:hAnsiTheme="minorHAnsi"/>
          <w:color w:val="31808B"/>
          <w:sz w:val="22"/>
          <w:szCs w:val="22"/>
        </w:rPr>
        <w:t>Date:</w:t>
      </w:r>
      <w:r w:rsidRPr="00D26C35">
        <w:rPr>
          <w:b/>
          <w:bCs/>
          <w:color w:val="31808B"/>
        </w:rPr>
        <w:t xml:space="preserve"> </w:t>
      </w:r>
      <w:r w:rsidR="00F317B2" w:rsidRPr="00F317B2">
        <w:t>2</w:t>
      </w:r>
      <w:r w:rsidR="002131A6">
        <w:t>6</w:t>
      </w:r>
      <w:r w:rsidR="00F05C3D">
        <w:t>/</w:t>
      </w:r>
      <w:r w:rsidR="00AE094A">
        <w:t>0</w:t>
      </w:r>
      <w:r w:rsidR="003D6C33">
        <w:t>6</w:t>
      </w:r>
      <w:r w:rsidR="00F05C3D">
        <w:t>/20</w:t>
      </w:r>
      <w:r w:rsidR="00856E32">
        <w:t>2</w:t>
      </w:r>
      <w:r w:rsidR="00AE094A">
        <w:t>0</w:t>
      </w:r>
      <w:r w:rsidRPr="00D26C35">
        <w:rPr>
          <w:b/>
          <w:bCs/>
          <w:color w:val="31808B"/>
        </w:rPr>
        <w:t xml:space="preserve"> </w:t>
      </w:r>
      <w:r w:rsidRPr="00D26C35">
        <w:rPr>
          <w:b/>
          <w:bCs/>
          <w:noProof/>
          <w:color w:val="31808B"/>
          <w:lang w:eastAsia="en-GB"/>
        </w:rPr>
        <w:drawing>
          <wp:inline distT="0" distB="0" distL="0" distR="0" wp14:anchorId="5084BCA4" wp14:editId="0F45BA65">
            <wp:extent cx="114913" cy="117937"/>
            <wp:effectExtent l="0" t="0" r="0" b="0"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r.png"/>
                    <pic:cNvPicPr/>
                  </pic:nvPicPr>
                  <pic:blipFill rotWithShape="1">
                    <a:blip r:embed="rId12"/>
                    <a:srcRect t="-6105" b="6105"/>
                    <a:stretch/>
                  </pic:blipFill>
                  <pic:spPr>
                    <a:xfrm>
                      <a:off x="0" y="0"/>
                      <a:ext cx="114913" cy="117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6C35">
        <w:rPr>
          <w:b/>
          <w:bCs/>
          <w:color w:val="31808B"/>
        </w:rPr>
        <w:t xml:space="preserve"> </w:t>
      </w:r>
      <w:r w:rsidRPr="00D26C35">
        <w:rPr>
          <w:rStyle w:val="Heading1Char"/>
          <w:rFonts w:asciiTheme="minorHAnsi" w:hAnsiTheme="minorHAnsi"/>
          <w:color w:val="31808B"/>
          <w:sz w:val="22"/>
          <w:szCs w:val="22"/>
        </w:rPr>
        <w:t>Version:</w:t>
      </w:r>
      <w:r w:rsidRPr="00D26C35">
        <w:rPr>
          <w:b/>
          <w:bCs/>
          <w:color w:val="31808B"/>
        </w:rPr>
        <w:t xml:space="preserve"> </w:t>
      </w:r>
      <w:r w:rsidR="00D51EEC">
        <w:rPr>
          <w:bCs/>
        </w:rPr>
        <w:t>Final</w:t>
      </w:r>
    </w:p>
    <w:p w14:paraId="28932756" w14:textId="6799107C" w:rsidR="00556D2B" w:rsidRPr="0083388B" w:rsidRDefault="004A47D0" w:rsidP="00903B3F">
      <w:pPr>
        <w:pStyle w:val="Heading1"/>
        <w:numPr>
          <w:ilvl w:val="0"/>
          <w:numId w:val="16"/>
        </w:numPr>
        <w:rPr>
          <w:rFonts w:asciiTheme="minorHAnsi" w:hAnsiTheme="minorHAnsi" w:cstheme="minorHAnsi"/>
          <w:color w:val="31808B"/>
          <w:sz w:val="28"/>
          <w:szCs w:val="28"/>
        </w:rPr>
      </w:pPr>
      <w:bookmarkStart w:id="1" w:name="_Hlk34387688"/>
      <w:r w:rsidRPr="0083388B">
        <w:rPr>
          <w:rFonts w:asciiTheme="minorHAnsi" w:hAnsiTheme="minorHAnsi" w:cstheme="minorHAnsi"/>
          <w:color w:val="31808B"/>
          <w:sz w:val="28"/>
          <w:szCs w:val="28"/>
        </w:rPr>
        <w:t>General Comments</w:t>
      </w:r>
    </w:p>
    <w:bookmarkEnd w:id="1"/>
    <w:p w14:paraId="0DDF7396" w14:textId="006444AD" w:rsidR="001D29D3" w:rsidRDefault="00134A89" w:rsidP="00134A89">
      <w:r>
        <w:t xml:space="preserve">EFPIA </w:t>
      </w:r>
      <w:r w:rsidR="00486636">
        <w:t xml:space="preserve">understands </w:t>
      </w:r>
      <w:r>
        <w:t>this new chapter</w:t>
      </w:r>
      <w:r w:rsidR="00486636">
        <w:t xml:space="preserve"> is intended to be complementary to regulatory responses to </w:t>
      </w:r>
      <w:r w:rsidR="00F317B2">
        <w:t xml:space="preserve">the discovery of N-nitrosamine impurities in certain medicinal products, initially related to certain </w:t>
      </w:r>
      <w:proofErr w:type="spellStart"/>
      <w:r w:rsidR="00F317B2">
        <w:t>sartan</w:t>
      </w:r>
      <w:proofErr w:type="spellEnd"/>
      <w:r w:rsidR="00F317B2">
        <w:t xml:space="preserve"> medicines, and supports efforts to strengthen the protection of public health on this issue</w:t>
      </w:r>
      <w:r>
        <w:t xml:space="preserve">. </w:t>
      </w:r>
    </w:p>
    <w:p w14:paraId="4CF699AE" w14:textId="2B1BCC78" w:rsidR="00BF3171" w:rsidRDefault="00134A89" w:rsidP="00134A89">
      <w:r>
        <w:t xml:space="preserve">EFPIA believes the text should clearly limit the use of these methods for the five </w:t>
      </w:r>
      <w:proofErr w:type="spellStart"/>
      <w:r w:rsidR="00F317B2">
        <w:t>sartan</w:t>
      </w:r>
      <w:proofErr w:type="spellEnd"/>
      <w:r w:rsidR="00F317B2">
        <w:t xml:space="preserve"> active substances</w:t>
      </w:r>
      <w:r>
        <w:t xml:space="preserve"> listed in the text. There should be no reference to their use for other materials or products</w:t>
      </w:r>
      <w:r w:rsidR="00BF3171">
        <w:t>.</w:t>
      </w:r>
    </w:p>
    <w:p w14:paraId="060EFE10" w14:textId="05213F02" w:rsidR="00BF3171" w:rsidRPr="00BF3171" w:rsidRDefault="00BF3171" w:rsidP="00100D56">
      <w:pPr>
        <w:pStyle w:val="CommentText"/>
        <w:spacing w:line="276" w:lineRule="auto"/>
        <w:rPr>
          <w:sz w:val="22"/>
          <w:szCs w:val="22"/>
        </w:rPr>
      </w:pPr>
      <w:r w:rsidRPr="00100D56">
        <w:rPr>
          <w:sz w:val="22"/>
          <w:szCs w:val="22"/>
        </w:rPr>
        <w:t xml:space="preserve">Sample preparation, chromatography and spectrometric conditions would potentially need considerable adaptation for other </w:t>
      </w:r>
      <w:r w:rsidR="00F317B2" w:rsidRPr="00100D56">
        <w:rPr>
          <w:sz w:val="22"/>
          <w:szCs w:val="22"/>
        </w:rPr>
        <w:t>active substances, other substances for pharmaceutical use,</w:t>
      </w:r>
      <w:r w:rsidRPr="00100D56">
        <w:rPr>
          <w:sz w:val="22"/>
          <w:szCs w:val="22"/>
        </w:rPr>
        <w:t xml:space="preserve"> and </w:t>
      </w:r>
      <w:r w:rsidR="00F317B2" w:rsidRPr="00100D56">
        <w:rPr>
          <w:sz w:val="22"/>
          <w:szCs w:val="22"/>
        </w:rPr>
        <w:t xml:space="preserve">medicinal </w:t>
      </w:r>
      <w:r w:rsidRPr="00100D56">
        <w:rPr>
          <w:sz w:val="22"/>
          <w:szCs w:val="22"/>
        </w:rPr>
        <w:t xml:space="preserve">products. </w:t>
      </w:r>
      <w:r w:rsidR="00F317B2" w:rsidRPr="00100D56">
        <w:rPr>
          <w:sz w:val="22"/>
          <w:szCs w:val="22"/>
        </w:rPr>
        <w:t>Without suitable development and validation, t</w:t>
      </w:r>
      <w:r w:rsidRPr="00100D56">
        <w:rPr>
          <w:sz w:val="22"/>
          <w:szCs w:val="22"/>
        </w:rPr>
        <w:t>he</w:t>
      </w:r>
      <w:r w:rsidR="00F317B2" w:rsidRPr="00100D56">
        <w:rPr>
          <w:sz w:val="22"/>
          <w:szCs w:val="22"/>
        </w:rPr>
        <w:t xml:space="preserve">re is a </w:t>
      </w:r>
      <w:r w:rsidRPr="00100D56">
        <w:rPr>
          <w:sz w:val="22"/>
          <w:szCs w:val="22"/>
        </w:rPr>
        <w:t xml:space="preserve">risk of </w:t>
      </w:r>
      <w:r w:rsidR="00F317B2" w:rsidRPr="00100D56">
        <w:rPr>
          <w:sz w:val="22"/>
          <w:szCs w:val="22"/>
        </w:rPr>
        <w:t xml:space="preserve">erroneous results arising from </w:t>
      </w:r>
      <w:r w:rsidRPr="00100D56">
        <w:rPr>
          <w:sz w:val="22"/>
          <w:szCs w:val="22"/>
        </w:rPr>
        <w:t xml:space="preserve">matrix effects </w:t>
      </w:r>
      <w:r w:rsidR="00F317B2" w:rsidRPr="00100D56">
        <w:rPr>
          <w:sz w:val="22"/>
          <w:szCs w:val="22"/>
        </w:rPr>
        <w:t>due to</w:t>
      </w:r>
      <w:r w:rsidRPr="00100D56">
        <w:rPr>
          <w:sz w:val="22"/>
          <w:szCs w:val="22"/>
        </w:rPr>
        <w:t xml:space="preserve"> other materials </w:t>
      </w:r>
      <w:r w:rsidR="00F317B2" w:rsidRPr="00100D56">
        <w:rPr>
          <w:sz w:val="22"/>
          <w:szCs w:val="22"/>
        </w:rPr>
        <w:t>in</w:t>
      </w:r>
      <w:r w:rsidRPr="00100D56">
        <w:rPr>
          <w:sz w:val="22"/>
          <w:szCs w:val="22"/>
        </w:rPr>
        <w:t xml:space="preserve"> products that may contain nitrosamines as potential contaminants</w:t>
      </w:r>
      <w:r w:rsidR="00F317B2" w:rsidRPr="00100D56">
        <w:rPr>
          <w:sz w:val="22"/>
          <w:szCs w:val="22"/>
        </w:rPr>
        <w:t>, and other active substances could potentially give rise to the formation of different nitrosamine impurities. These factors</w:t>
      </w:r>
      <w:r w:rsidR="001D29D3" w:rsidRPr="00100D56">
        <w:rPr>
          <w:sz w:val="22"/>
          <w:szCs w:val="22"/>
        </w:rPr>
        <w:t xml:space="preserve"> would </w:t>
      </w:r>
      <w:r w:rsidR="00F317B2" w:rsidRPr="00100D56">
        <w:rPr>
          <w:sz w:val="22"/>
          <w:szCs w:val="22"/>
        </w:rPr>
        <w:t>obviously</w:t>
      </w:r>
      <w:r w:rsidR="001D29D3" w:rsidRPr="00100D56">
        <w:rPr>
          <w:sz w:val="22"/>
          <w:szCs w:val="22"/>
        </w:rPr>
        <w:t xml:space="preserve"> impact the suitability of these methods for other </w:t>
      </w:r>
      <w:r w:rsidR="00F317B2" w:rsidRPr="00100D56">
        <w:rPr>
          <w:sz w:val="22"/>
          <w:szCs w:val="22"/>
        </w:rPr>
        <w:t>applications</w:t>
      </w:r>
      <w:r w:rsidR="001D29D3" w:rsidRPr="00100D56">
        <w:rPr>
          <w:sz w:val="22"/>
          <w:szCs w:val="22"/>
        </w:rPr>
        <w:t>.</w:t>
      </w:r>
    </w:p>
    <w:p w14:paraId="44137D7F" w14:textId="0D11BDC3" w:rsidR="00134A89" w:rsidRDefault="008C0A2A" w:rsidP="00134A89">
      <w:r>
        <w:t xml:space="preserve">The limitation of the methods to </w:t>
      </w:r>
      <w:proofErr w:type="spellStart"/>
      <w:r>
        <w:t>sartans</w:t>
      </w:r>
      <w:proofErr w:type="spellEnd"/>
      <w:r>
        <w:t xml:space="preserve"> and the listed nitrosamines should be reflected in the title. As it stands the title suggests the</w:t>
      </w:r>
      <w:r w:rsidR="00F317B2">
        <w:t xml:space="preserve"> chapter covers, and </w:t>
      </w:r>
      <w:r w:rsidR="00494B81">
        <w:t xml:space="preserve">that </w:t>
      </w:r>
      <w:r w:rsidR="00F317B2">
        <w:t>the</w:t>
      </w:r>
      <w:r>
        <w:t xml:space="preserve"> methods are </w:t>
      </w:r>
      <w:r w:rsidR="00F317B2">
        <w:t xml:space="preserve">suitable, </w:t>
      </w:r>
      <w:r>
        <w:t xml:space="preserve">for any </w:t>
      </w:r>
      <w:r w:rsidR="00F317B2">
        <w:t>N-</w:t>
      </w:r>
      <w:r>
        <w:t xml:space="preserve">nitrosamine in any </w:t>
      </w:r>
      <w:r w:rsidR="00CE7065">
        <w:t>active substance</w:t>
      </w:r>
      <w:r>
        <w:t xml:space="preserve">. </w:t>
      </w:r>
    </w:p>
    <w:p w14:paraId="3F11322A" w14:textId="62B4BE2C" w:rsidR="00494B81" w:rsidRPr="009D1A78" w:rsidRDefault="00494B81" w:rsidP="00494B81">
      <w:pPr>
        <w:spacing w:after="160" w:line="259" w:lineRule="auto"/>
      </w:pPr>
      <w:r>
        <w:t xml:space="preserve">EFPIA would welcome the opportunity </w:t>
      </w:r>
      <w:r w:rsidR="001C405A">
        <w:t xml:space="preserve">for further </w:t>
      </w:r>
      <w:r>
        <w:t>discuss</w:t>
      </w:r>
      <w:r w:rsidR="001C405A">
        <w:t xml:space="preserve">ion about the technical challenges and </w:t>
      </w:r>
      <w:r>
        <w:t>approach</w:t>
      </w:r>
      <w:r w:rsidR="001C405A">
        <w:t>es</w:t>
      </w:r>
      <w:r w:rsidR="00DC05C8">
        <w:t xml:space="preserve"> used</w:t>
      </w:r>
      <w:r>
        <w:t xml:space="preserve"> for the testing and control of nitrosamine</w:t>
      </w:r>
      <w:r w:rsidR="001C405A">
        <w:t xml:space="preserve"> impurities.</w:t>
      </w:r>
    </w:p>
    <w:p w14:paraId="16D04A6E" w14:textId="468B1AA6" w:rsidR="00AE094A" w:rsidRPr="0083388B" w:rsidRDefault="00AE094A" w:rsidP="00285B24">
      <w:pPr>
        <w:pStyle w:val="Heading1"/>
        <w:numPr>
          <w:ilvl w:val="0"/>
          <w:numId w:val="16"/>
        </w:numPr>
        <w:rPr>
          <w:rFonts w:asciiTheme="minorHAnsi" w:hAnsiTheme="minorHAnsi" w:cstheme="minorHAnsi"/>
          <w:color w:val="31808B"/>
          <w:sz w:val="28"/>
          <w:szCs w:val="28"/>
        </w:rPr>
      </w:pPr>
      <w:r w:rsidRPr="0083388B">
        <w:rPr>
          <w:rFonts w:asciiTheme="minorHAnsi" w:hAnsiTheme="minorHAnsi" w:cstheme="minorHAnsi"/>
          <w:color w:val="31808B"/>
          <w:sz w:val="28"/>
          <w:szCs w:val="28"/>
        </w:rPr>
        <w:t>Specific Comments on the Proposed Text</w:t>
      </w:r>
    </w:p>
    <w:p w14:paraId="6AAD60B9" w14:textId="6625CF74" w:rsidR="00134A89" w:rsidRDefault="00134A89" w:rsidP="00134A89">
      <w:r>
        <w:t>EFPIA welcome</w:t>
      </w:r>
      <w:r w:rsidR="00DC6E5C">
        <w:t>s</w:t>
      </w:r>
      <w:r>
        <w:t xml:space="preserve"> the opportunity to make </w:t>
      </w:r>
      <w:r w:rsidR="00DC6E5C">
        <w:t xml:space="preserve">the following </w:t>
      </w:r>
      <w:r>
        <w:t>comments on the proposed new chapter 2.4.36</w:t>
      </w:r>
      <w:r w:rsidR="00DC6E5C">
        <w:t>:</w:t>
      </w:r>
    </w:p>
    <w:p w14:paraId="186490F2" w14:textId="4B7C0CF9" w:rsidR="00134A89" w:rsidRDefault="00DC6E5C" w:rsidP="00366BD6">
      <w:pPr>
        <w:pStyle w:val="ListParagraph"/>
        <w:numPr>
          <w:ilvl w:val="0"/>
          <w:numId w:val="23"/>
        </w:numPr>
        <w:spacing w:after="160" w:line="259" w:lineRule="auto"/>
        <w:rPr>
          <w:rFonts w:asciiTheme="minorHAnsi" w:hAnsiTheme="minorHAnsi" w:cstheme="minorBidi"/>
          <w:sz w:val="22"/>
          <w:szCs w:val="22"/>
          <w:lang w:eastAsia="en-US"/>
        </w:rPr>
      </w:pPr>
      <w:r w:rsidRPr="0020588F">
        <w:rPr>
          <w:rFonts w:asciiTheme="minorHAnsi" w:hAnsiTheme="minorHAnsi" w:cstheme="minorBidi"/>
          <w:sz w:val="22"/>
          <w:szCs w:val="22"/>
          <w:lang w:eastAsia="en-US"/>
        </w:rPr>
        <w:t>EFPIA notes that the analytical procedures are</w:t>
      </w:r>
      <w:r w:rsidR="00134A89" w:rsidRPr="0020588F">
        <w:rPr>
          <w:rFonts w:asciiTheme="minorHAnsi" w:hAnsiTheme="minorHAnsi" w:cstheme="minorBidi"/>
          <w:sz w:val="22"/>
          <w:szCs w:val="22"/>
          <w:lang w:eastAsia="en-US"/>
        </w:rPr>
        <w:t xml:space="preserve"> </w:t>
      </w:r>
      <w:r w:rsidRPr="0020588F">
        <w:rPr>
          <w:rFonts w:asciiTheme="minorHAnsi" w:hAnsiTheme="minorHAnsi" w:cstheme="minorBidi"/>
          <w:sz w:val="22"/>
          <w:szCs w:val="22"/>
          <w:lang w:eastAsia="en-US"/>
        </w:rPr>
        <w:t xml:space="preserve">for application to the five active substances shown in Table 2.4.36-1 </w:t>
      </w:r>
      <w:r w:rsidR="00134A89" w:rsidRPr="0020588F">
        <w:rPr>
          <w:rFonts w:asciiTheme="minorHAnsi" w:hAnsiTheme="minorHAnsi" w:cstheme="minorBidi"/>
          <w:sz w:val="22"/>
          <w:szCs w:val="22"/>
          <w:lang w:eastAsia="en-US"/>
        </w:rPr>
        <w:t>and that the text is limited to use for the Active Pharmaceutical Ingredients (API) listed in the text</w:t>
      </w:r>
      <w:r w:rsidRPr="0020588F">
        <w:rPr>
          <w:rFonts w:asciiTheme="minorHAnsi" w:hAnsiTheme="minorHAnsi" w:cstheme="minorBidi"/>
          <w:sz w:val="22"/>
          <w:szCs w:val="22"/>
          <w:lang w:eastAsia="en-US"/>
        </w:rPr>
        <w:t xml:space="preserve">. If the procedure is to be applied outside the scope shown in the Table </w:t>
      </w:r>
      <w:r w:rsidR="00494B81">
        <w:rPr>
          <w:rFonts w:asciiTheme="minorHAnsi" w:hAnsiTheme="minorHAnsi" w:cstheme="minorBidi"/>
          <w:sz w:val="22"/>
          <w:szCs w:val="22"/>
          <w:lang w:eastAsia="en-US"/>
        </w:rPr>
        <w:t xml:space="preserve">then </w:t>
      </w:r>
      <w:r w:rsidRPr="0020588F">
        <w:rPr>
          <w:rFonts w:asciiTheme="minorHAnsi" w:hAnsiTheme="minorHAnsi" w:cstheme="minorBidi"/>
          <w:sz w:val="22"/>
          <w:szCs w:val="22"/>
          <w:lang w:eastAsia="en-US"/>
        </w:rPr>
        <w:t xml:space="preserve">the procedure should be </w:t>
      </w:r>
      <w:r w:rsidR="00AB4ACC">
        <w:rPr>
          <w:rFonts w:asciiTheme="minorHAnsi" w:hAnsiTheme="minorHAnsi" w:cstheme="minorBidi"/>
          <w:sz w:val="22"/>
          <w:szCs w:val="22"/>
          <w:lang w:eastAsia="en-US"/>
        </w:rPr>
        <w:t xml:space="preserve">further </w:t>
      </w:r>
      <w:r w:rsidRPr="0020588F">
        <w:rPr>
          <w:rFonts w:asciiTheme="minorHAnsi" w:hAnsiTheme="minorHAnsi" w:cstheme="minorBidi"/>
          <w:sz w:val="22"/>
          <w:szCs w:val="22"/>
          <w:lang w:eastAsia="en-US"/>
        </w:rPr>
        <w:t xml:space="preserve">validated. However, the European Pharmacopoeia is used as a reference in markets outside of Europe and in some cases regulatory agencies may (mistakenly) mandate the use of the published methods for all APIs. Given the </w:t>
      </w:r>
      <w:r w:rsidRPr="0020588F">
        <w:rPr>
          <w:rFonts w:asciiTheme="minorHAnsi" w:hAnsiTheme="minorHAnsi" w:cstheme="minorBidi"/>
          <w:sz w:val="22"/>
          <w:szCs w:val="22"/>
          <w:lang w:eastAsia="en-US"/>
        </w:rPr>
        <w:lastRenderedPageBreak/>
        <w:t>analytical challenges associated with the determination of N-Nitrosamine impurities</w:t>
      </w:r>
      <w:r w:rsidR="0020588F" w:rsidRPr="0020588F">
        <w:rPr>
          <w:rFonts w:asciiTheme="minorHAnsi" w:hAnsiTheme="minorHAnsi" w:cstheme="minorBidi"/>
          <w:sz w:val="22"/>
          <w:szCs w:val="22"/>
          <w:lang w:eastAsia="en-US"/>
        </w:rPr>
        <w:t xml:space="preserve"> to avoid false positive or negative results, </w:t>
      </w:r>
      <w:r w:rsidR="0020588F">
        <w:rPr>
          <w:rFonts w:asciiTheme="minorHAnsi" w:hAnsiTheme="minorHAnsi" w:cstheme="minorBidi"/>
          <w:sz w:val="22"/>
          <w:szCs w:val="22"/>
          <w:lang w:eastAsia="en-US"/>
        </w:rPr>
        <w:t>to avoid this misinterpretation</w:t>
      </w:r>
      <w:r w:rsidR="0020588F" w:rsidRPr="0020588F">
        <w:rPr>
          <w:rFonts w:asciiTheme="minorHAnsi" w:hAnsiTheme="minorHAnsi" w:cstheme="minorBidi"/>
          <w:sz w:val="22"/>
          <w:szCs w:val="22"/>
          <w:lang w:eastAsia="en-US"/>
        </w:rPr>
        <w:t xml:space="preserve"> we suggest </w:t>
      </w:r>
      <w:r w:rsidR="00134A89" w:rsidRPr="0020588F">
        <w:rPr>
          <w:rFonts w:asciiTheme="minorHAnsi" w:hAnsiTheme="minorHAnsi" w:cstheme="minorBidi"/>
          <w:sz w:val="22"/>
          <w:szCs w:val="22"/>
          <w:lang w:eastAsia="en-US"/>
        </w:rPr>
        <w:t>deletion of the following text from the chapter – ‘</w:t>
      </w:r>
      <w:r w:rsidR="00134A89" w:rsidRPr="0020588F">
        <w:rPr>
          <w:rFonts w:asciiTheme="minorHAnsi" w:hAnsiTheme="minorHAnsi" w:cstheme="minorBidi"/>
          <w:i/>
          <w:iCs/>
          <w:sz w:val="22"/>
          <w:szCs w:val="22"/>
          <w:lang w:eastAsia="en-US"/>
        </w:rPr>
        <w:t>When a procedure is applied to substances outside of the scope covered by the initial validation (see Table 2.4.36.-1) or to medicinal products or is used quantitatively, then it must be validated</w:t>
      </w:r>
      <w:r w:rsidR="00134A89" w:rsidRPr="0020588F">
        <w:rPr>
          <w:rFonts w:asciiTheme="minorHAnsi" w:hAnsiTheme="minorHAnsi" w:cstheme="minorBidi"/>
          <w:sz w:val="22"/>
          <w:szCs w:val="22"/>
          <w:lang w:eastAsia="en-US"/>
        </w:rPr>
        <w:t>’</w:t>
      </w:r>
      <w:r w:rsidR="0020588F">
        <w:rPr>
          <w:rFonts w:asciiTheme="minorHAnsi" w:hAnsiTheme="minorHAnsi" w:cstheme="minorBidi"/>
          <w:sz w:val="22"/>
          <w:szCs w:val="22"/>
          <w:lang w:eastAsia="en-US"/>
        </w:rPr>
        <w:t>. Experienced analysts and users of the Pharmacopoeia will understand that if methods A, B and C are to be applied to situations outside of the scope shown in Table 2.4.36-1 then the procedure should be validated.</w:t>
      </w:r>
    </w:p>
    <w:p w14:paraId="705FECDB" w14:textId="7EBBA903" w:rsidR="006F7035" w:rsidRPr="00486636" w:rsidRDefault="00486636" w:rsidP="006F7035">
      <w:pPr>
        <w:pStyle w:val="CommentText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Further to the above, </w:t>
      </w:r>
      <w:r w:rsidR="006F7035">
        <w:rPr>
          <w:sz w:val="22"/>
          <w:szCs w:val="22"/>
        </w:rPr>
        <w:t xml:space="preserve">EFPIA believes the title of this Chapter </w:t>
      </w:r>
      <w:r w:rsidR="006F7035" w:rsidRPr="00486636">
        <w:rPr>
          <w:sz w:val="22"/>
          <w:szCs w:val="22"/>
        </w:rPr>
        <w:t xml:space="preserve">is </w:t>
      </w:r>
      <w:r>
        <w:rPr>
          <w:sz w:val="22"/>
          <w:szCs w:val="22"/>
        </w:rPr>
        <w:t>misleading with respect to</w:t>
      </w:r>
      <w:r w:rsidR="006F7035" w:rsidRPr="00486636">
        <w:rPr>
          <w:sz w:val="22"/>
          <w:szCs w:val="22"/>
        </w:rPr>
        <w:t xml:space="preserve"> “N-Nitrosamines”</w:t>
      </w:r>
      <w:r>
        <w:rPr>
          <w:sz w:val="22"/>
          <w:szCs w:val="22"/>
        </w:rPr>
        <w:t xml:space="preserve">. </w:t>
      </w:r>
      <w:r w:rsidR="006F7035" w:rsidRPr="00486636">
        <w:rPr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 w:rsidR="006F7035" w:rsidRPr="00486636">
        <w:rPr>
          <w:sz w:val="22"/>
          <w:szCs w:val="22"/>
        </w:rPr>
        <w:t xml:space="preserve">here are hundreds of potential </w:t>
      </w:r>
      <w:r>
        <w:rPr>
          <w:sz w:val="22"/>
          <w:szCs w:val="22"/>
        </w:rPr>
        <w:t>N-</w:t>
      </w:r>
      <w:r w:rsidR="006F7035" w:rsidRPr="00486636">
        <w:rPr>
          <w:sz w:val="22"/>
          <w:szCs w:val="22"/>
        </w:rPr>
        <w:t xml:space="preserve">nitrosamines but the text is only addressing the </w:t>
      </w:r>
      <w:r w:rsidR="00CE7065">
        <w:rPr>
          <w:sz w:val="22"/>
          <w:szCs w:val="22"/>
        </w:rPr>
        <w:t>seven</w:t>
      </w:r>
      <w:r w:rsidR="006F7035" w:rsidRPr="00486636">
        <w:rPr>
          <w:sz w:val="22"/>
          <w:szCs w:val="22"/>
        </w:rPr>
        <w:t xml:space="preserve"> that have been observed in individual </w:t>
      </w:r>
      <w:proofErr w:type="spellStart"/>
      <w:r w:rsidR="006F7035" w:rsidRPr="00486636">
        <w:rPr>
          <w:sz w:val="22"/>
          <w:szCs w:val="22"/>
        </w:rPr>
        <w:t>sartan</w:t>
      </w:r>
      <w:proofErr w:type="spellEnd"/>
      <w:r w:rsidR="006F7035" w:rsidRPr="00486636">
        <w:rPr>
          <w:sz w:val="22"/>
          <w:szCs w:val="22"/>
        </w:rPr>
        <w:t xml:space="preserve"> drugs. </w:t>
      </w:r>
      <w:r>
        <w:rPr>
          <w:sz w:val="22"/>
          <w:szCs w:val="22"/>
        </w:rPr>
        <w:t>T</w:t>
      </w:r>
      <w:r w:rsidR="006F7035" w:rsidRPr="00486636">
        <w:rPr>
          <w:sz w:val="22"/>
          <w:szCs w:val="22"/>
        </w:rPr>
        <w:t xml:space="preserve">he title as given </w:t>
      </w:r>
      <w:r>
        <w:rPr>
          <w:sz w:val="22"/>
          <w:szCs w:val="22"/>
        </w:rPr>
        <w:t>create</w:t>
      </w:r>
      <w:r w:rsidR="006F7035" w:rsidRPr="00486636">
        <w:rPr>
          <w:sz w:val="22"/>
          <w:szCs w:val="22"/>
        </w:rPr>
        <w:t>s the expectation that the methods provided allow for testing any nitrosamine in any active substance.</w:t>
      </w:r>
    </w:p>
    <w:p w14:paraId="253500A0" w14:textId="4EBE2C24" w:rsidR="00486636" w:rsidRPr="00486636" w:rsidRDefault="006F7035" w:rsidP="00486636">
      <w:pPr>
        <w:pStyle w:val="CommentText"/>
        <w:ind w:left="360"/>
        <w:rPr>
          <w:sz w:val="22"/>
          <w:szCs w:val="22"/>
        </w:rPr>
      </w:pPr>
      <w:r w:rsidRPr="00486636">
        <w:rPr>
          <w:sz w:val="22"/>
          <w:szCs w:val="22"/>
        </w:rPr>
        <w:t>We suggest chang</w:t>
      </w:r>
      <w:r w:rsidR="00CE7065">
        <w:rPr>
          <w:sz w:val="22"/>
          <w:szCs w:val="22"/>
        </w:rPr>
        <w:t>ing</w:t>
      </w:r>
      <w:r w:rsidRPr="00486636">
        <w:rPr>
          <w:sz w:val="22"/>
          <w:szCs w:val="22"/>
        </w:rPr>
        <w:t xml:space="preserve"> the title to </w:t>
      </w:r>
    </w:p>
    <w:p w14:paraId="2A0E7859" w14:textId="77777777" w:rsidR="00486636" w:rsidRPr="00486636" w:rsidRDefault="006F7035" w:rsidP="00486636">
      <w:pPr>
        <w:pStyle w:val="CommentText"/>
        <w:ind w:left="360"/>
        <w:rPr>
          <w:sz w:val="22"/>
          <w:szCs w:val="22"/>
        </w:rPr>
      </w:pPr>
      <w:r w:rsidRPr="00486636">
        <w:rPr>
          <w:sz w:val="22"/>
          <w:szCs w:val="22"/>
        </w:rPr>
        <w:t>“N-Nitrosamines in angiotensin-II-receptor antagonists (</w:t>
      </w:r>
      <w:proofErr w:type="spellStart"/>
      <w:r w:rsidRPr="00486636">
        <w:rPr>
          <w:sz w:val="22"/>
          <w:szCs w:val="22"/>
        </w:rPr>
        <w:t>Sartans</w:t>
      </w:r>
      <w:proofErr w:type="spellEnd"/>
      <w:r w:rsidRPr="00486636">
        <w:rPr>
          <w:sz w:val="22"/>
          <w:szCs w:val="22"/>
        </w:rPr>
        <w:t xml:space="preserve">) containing a tetrazole group” </w:t>
      </w:r>
    </w:p>
    <w:p w14:paraId="0CA9DEDC" w14:textId="02198FAC" w:rsidR="006F7035" w:rsidRPr="00486636" w:rsidRDefault="006F7035" w:rsidP="00486636">
      <w:pPr>
        <w:pStyle w:val="CommentText"/>
        <w:ind w:left="360"/>
        <w:rPr>
          <w:sz w:val="22"/>
          <w:szCs w:val="22"/>
        </w:rPr>
      </w:pPr>
      <w:r w:rsidRPr="00486636">
        <w:rPr>
          <w:sz w:val="22"/>
          <w:szCs w:val="22"/>
        </w:rPr>
        <w:t>per EU publication “</w:t>
      </w:r>
      <w:r w:rsidR="00486636">
        <w:rPr>
          <w:sz w:val="22"/>
          <w:szCs w:val="22"/>
        </w:rPr>
        <w:t>S</w:t>
      </w:r>
      <w:r w:rsidRPr="00486636">
        <w:rPr>
          <w:sz w:val="22"/>
          <w:szCs w:val="22"/>
        </w:rPr>
        <w:t xml:space="preserve">artans-article-31-referral-chmp-assessment-report” </w:t>
      </w:r>
      <w:r w:rsidR="00486636">
        <w:rPr>
          <w:sz w:val="22"/>
          <w:szCs w:val="22"/>
        </w:rPr>
        <w:t>of</w:t>
      </w:r>
      <w:r w:rsidRPr="00486636">
        <w:rPr>
          <w:sz w:val="22"/>
          <w:szCs w:val="22"/>
        </w:rPr>
        <w:t xml:space="preserve"> 14 Feb 2019. The original title </w:t>
      </w:r>
      <w:r w:rsidR="00486636">
        <w:rPr>
          <w:sz w:val="22"/>
          <w:szCs w:val="22"/>
        </w:rPr>
        <w:t>implies applicability to</w:t>
      </w:r>
      <w:r w:rsidRPr="00486636">
        <w:rPr>
          <w:sz w:val="22"/>
          <w:szCs w:val="22"/>
        </w:rPr>
        <w:t xml:space="preserve"> all active substances</w:t>
      </w:r>
      <w:r w:rsidR="00486636">
        <w:rPr>
          <w:sz w:val="22"/>
          <w:szCs w:val="22"/>
        </w:rPr>
        <w:t>,</w:t>
      </w:r>
      <w:r w:rsidRPr="00486636">
        <w:rPr>
          <w:sz w:val="22"/>
          <w:szCs w:val="22"/>
        </w:rPr>
        <w:t xml:space="preserve"> and the method scope is only for 5 </w:t>
      </w:r>
      <w:proofErr w:type="spellStart"/>
      <w:r w:rsidRPr="00486636">
        <w:rPr>
          <w:sz w:val="22"/>
          <w:szCs w:val="22"/>
        </w:rPr>
        <w:t>Sartans</w:t>
      </w:r>
      <w:proofErr w:type="spellEnd"/>
      <w:r w:rsidRPr="00486636">
        <w:rPr>
          <w:sz w:val="22"/>
          <w:szCs w:val="22"/>
        </w:rPr>
        <w:t>.</w:t>
      </w:r>
    </w:p>
    <w:p w14:paraId="2A7E9A19" w14:textId="5ABACBD1" w:rsidR="00486636" w:rsidRPr="00486636" w:rsidRDefault="00EE56E2" w:rsidP="009A31CF">
      <w:pPr>
        <w:pStyle w:val="ListParagraph"/>
        <w:numPr>
          <w:ilvl w:val="0"/>
          <w:numId w:val="23"/>
        </w:numPr>
        <w:spacing w:after="160" w:line="259" w:lineRule="auto"/>
      </w:pPr>
      <w:r w:rsidRPr="00EE56E2">
        <w:rPr>
          <w:rFonts w:asciiTheme="minorHAnsi" w:hAnsiTheme="minorHAnsi" w:cstheme="minorBidi"/>
          <w:sz w:val="22"/>
          <w:szCs w:val="22"/>
          <w:lang w:eastAsia="en-US"/>
        </w:rPr>
        <w:t xml:space="preserve">EFPIA </w:t>
      </w:r>
      <w:r w:rsidR="00486636">
        <w:rPr>
          <w:rFonts w:asciiTheme="minorHAnsi" w:hAnsiTheme="minorHAnsi" w:cstheme="minorBidi"/>
          <w:sz w:val="22"/>
          <w:szCs w:val="22"/>
          <w:lang w:eastAsia="en-US"/>
        </w:rPr>
        <w:t>recommends</w:t>
      </w:r>
      <w:r w:rsidRPr="00EE56E2">
        <w:rPr>
          <w:rFonts w:asciiTheme="minorHAnsi" w:hAnsiTheme="minorHAnsi" w:cstheme="minorBidi"/>
          <w:sz w:val="22"/>
          <w:szCs w:val="22"/>
          <w:lang w:eastAsia="en-US"/>
        </w:rPr>
        <w:t xml:space="preserve"> this chapter </w:t>
      </w:r>
      <w:r w:rsidR="00486636">
        <w:rPr>
          <w:rFonts w:asciiTheme="minorHAnsi" w:hAnsiTheme="minorHAnsi" w:cstheme="minorBidi"/>
          <w:sz w:val="22"/>
          <w:szCs w:val="22"/>
          <w:lang w:eastAsia="en-US"/>
        </w:rPr>
        <w:t>is</w:t>
      </w:r>
      <w:r w:rsidRPr="00EE56E2">
        <w:rPr>
          <w:rFonts w:asciiTheme="minorHAnsi" w:hAnsiTheme="minorHAnsi" w:cstheme="minorBidi"/>
          <w:sz w:val="22"/>
          <w:szCs w:val="22"/>
          <w:lang w:eastAsia="en-US"/>
        </w:rPr>
        <w:t xml:space="preserve"> applied </w:t>
      </w:r>
      <w:r w:rsidR="00100D56">
        <w:rPr>
          <w:rFonts w:asciiTheme="minorHAnsi" w:hAnsiTheme="minorHAnsi" w:cstheme="minorBidi"/>
          <w:sz w:val="22"/>
          <w:szCs w:val="22"/>
          <w:lang w:eastAsia="en-US"/>
        </w:rPr>
        <w:t>by</w:t>
      </w:r>
      <w:r w:rsidRPr="00EE56E2">
        <w:rPr>
          <w:rFonts w:asciiTheme="minorHAnsi" w:hAnsiTheme="minorHAnsi" w:cstheme="minorBidi"/>
          <w:sz w:val="22"/>
          <w:szCs w:val="22"/>
          <w:lang w:eastAsia="en-US"/>
        </w:rPr>
        <w:t xml:space="preserve"> cross reference in specific </w:t>
      </w:r>
      <w:proofErr w:type="spellStart"/>
      <w:r w:rsidR="00486636">
        <w:rPr>
          <w:rFonts w:asciiTheme="minorHAnsi" w:hAnsiTheme="minorHAnsi" w:cstheme="minorBidi"/>
          <w:sz w:val="22"/>
          <w:szCs w:val="22"/>
          <w:lang w:eastAsia="en-US"/>
        </w:rPr>
        <w:t>sartan</w:t>
      </w:r>
      <w:proofErr w:type="spellEnd"/>
      <w:r w:rsidR="00486636">
        <w:rPr>
          <w:rFonts w:asciiTheme="minorHAnsi" w:hAnsiTheme="minorHAnsi" w:cstheme="minorBidi"/>
          <w:sz w:val="22"/>
          <w:szCs w:val="22"/>
          <w:lang w:eastAsia="en-US"/>
        </w:rPr>
        <w:t xml:space="preserve"> active substance </w:t>
      </w:r>
      <w:r w:rsidRPr="00EE56E2">
        <w:rPr>
          <w:rFonts w:asciiTheme="minorHAnsi" w:hAnsiTheme="minorHAnsi" w:cstheme="minorBidi"/>
          <w:sz w:val="22"/>
          <w:szCs w:val="22"/>
          <w:lang w:eastAsia="en-US"/>
        </w:rPr>
        <w:t xml:space="preserve">monographs </w:t>
      </w:r>
    </w:p>
    <w:p w14:paraId="12023C99" w14:textId="4A1D32CB" w:rsidR="00E84128" w:rsidRPr="0083388B" w:rsidRDefault="00E84128" w:rsidP="00486636">
      <w:pPr>
        <w:pStyle w:val="Heading1"/>
        <w:numPr>
          <w:ilvl w:val="0"/>
          <w:numId w:val="16"/>
        </w:numPr>
        <w:rPr>
          <w:rFonts w:asciiTheme="minorHAnsi" w:hAnsiTheme="minorHAnsi" w:cstheme="minorHAnsi"/>
          <w:color w:val="31808B"/>
          <w:sz w:val="28"/>
          <w:szCs w:val="28"/>
        </w:rPr>
      </w:pPr>
      <w:r w:rsidRPr="0083388B">
        <w:rPr>
          <w:rFonts w:asciiTheme="minorHAnsi" w:hAnsiTheme="minorHAnsi" w:cstheme="minorHAnsi"/>
          <w:color w:val="31808B"/>
          <w:sz w:val="28"/>
          <w:szCs w:val="28"/>
        </w:rPr>
        <w:t>Detailed comments</w:t>
      </w:r>
    </w:p>
    <w:tbl>
      <w:tblPr>
        <w:tblStyle w:val="TableGrid"/>
        <w:tblW w:w="9514" w:type="dxa"/>
        <w:tblLook w:val="04A0" w:firstRow="1" w:lastRow="0" w:firstColumn="1" w:lastColumn="0" w:noHBand="0" w:noVBand="1"/>
      </w:tblPr>
      <w:tblGrid>
        <w:gridCol w:w="440"/>
        <w:gridCol w:w="2507"/>
        <w:gridCol w:w="2293"/>
        <w:gridCol w:w="4274"/>
      </w:tblGrid>
      <w:tr w:rsidR="00CE7065" w14:paraId="06739B33" w14:textId="77777777" w:rsidTr="00E61796">
        <w:tc>
          <w:tcPr>
            <w:tcW w:w="440" w:type="dxa"/>
          </w:tcPr>
          <w:p w14:paraId="794E796E" w14:textId="03F427D0" w:rsidR="00CE7065" w:rsidRPr="00CE7065" w:rsidRDefault="00494B81" w:rsidP="001C7D5F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507" w:type="dxa"/>
          </w:tcPr>
          <w:p w14:paraId="32DE792B" w14:textId="15304EDF" w:rsidR="00CE7065" w:rsidRPr="00CE7065" w:rsidRDefault="00CE7065" w:rsidP="001C7D5F">
            <w:pPr>
              <w:spacing w:after="160"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CE7065">
              <w:rPr>
                <w:rFonts w:ascii="Calibri" w:hAnsi="Calibri" w:cs="Calibri"/>
                <w:sz w:val="22"/>
                <w:szCs w:val="22"/>
              </w:rPr>
              <w:t xml:space="preserve">Method Parameters </w:t>
            </w:r>
          </w:p>
        </w:tc>
        <w:tc>
          <w:tcPr>
            <w:tcW w:w="2293" w:type="dxa"/>
          </w:tcPr>
          <w:p w14:paraId="1BDB4782" w14:textId="5F7B15B5" w:rsidR="00CE7065" w:rsidRPr="00CE7065" w:rsidRDefault="00CE7065" w:rsidP="001C7D5F">
            <w:pPr>
              <w:spacing w:after="160"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CE7065">
              <w:rPr>
                <w:rFonts w:ascii="Calibri" w:hAnsi="Calibri" w:cs="Calibri"/>
                <w:sz w:val="22"/>
                <w:szCs w:val="22"/>
              </w:rPr>
              <w:t>Specific</w:t>
            </w:r>
            <w:r w:rsidR="00502CDC">
              <w:rPr>
                <w:rFonts w:ascii="Calibri" w:hAnsi="Calibri" w:cs="Calibri"/>
                <w:sz w:val="22"/>
                <w:szCs w:val="22"/>
              </w:rPr>
              <w:t>ity</w:t>
            </w:r>
            <w:r w:rsidRPr="00CE7065">
              <w:rPr>
                <w:rFonts w:ascii="Calibri" w:hAnsi="Calibri" w:cs="Calibri"/>
                <w:sz w:val="22"/>
                <w:szCs w:val="22"/>
              </w:rPr>
              <w:t xml:space="preserve"> to instrument </w:t>
            </w:r>
          </w:p>
        </w:tc>
        <w:tc>
          <w:tcPr>
            <w:tcW w:w="4274" w:type="dxa"/>
          </w:tcPr>
          <w:p w14:paraId="30CF76F0" w14:textId="77777777" w:rsidR="00502CDC" w:rsidRDefault="00502CDC" w:rsidP="001C7D5F">
            <w:pPr>
              <w:spacing w:after="160" w:line="259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We recommend further consideration is given to the level of specificity needed in the details of the procedure for it to be successfully used by the user of the pharmacopoeia.</w:t>
            </w:r>
          </w:p>
          <w:p w14:paraId="4652F462" w14:textId="412A9753" w:rsidR="00CE7065" w:rsidRPr="00CE7065" w:rsidRDefault="00502CDC" w:rsidP="001C7D5F">
            <w:pPr>
              <w:spacing w:after="160" w:line="259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There may be a need for adjustment of parameters based on </w:t>
            </w:r>
            <w:r w:rsidR="00CE7065" w:rsidRPr="00CE7065">
              <w:rPr>
                <w:rFonts w:ascii="Calibri" w:hAnsi="Calibri" w:cs="Calibri"/>
                <w:sz w:val="22"/>
                <w:szCs w:val="22"/>
              </w:rPr>
              <w:t xml:space="preserve">type of instrument and ion source design. </w:t>
            </w:r>
          </w:p>
          <w:p w14:paraId="4152702A" w14:textId="77777777" w:rsidR="00CE7065" w:rsidRDefault="00CE7065" w:rsidP="00502CDC">
            <w:pPr>
              <w:spacing w:after="160"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CE7065">
              <w:rPr>
                <w:rFonts w:ascii="Calibri" w:hAnsi="Calibri" w:cs="Calibri"/>
                <w:sz w:val="22"/>
                <w:szCs w:val="22"/>
              </w:rPr>
              <w:t>Collision energy values will need to be optimised for different instrument manufacturers, as it is not possible to directly use the same values to produce</w:t>
            </w:r>
            <w:r w:rsidR="00B2469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E7065">
              <w:rPr>
                <w:rFonts w:ascii="Calibri" w:hAnsi="Calibri" w:cs="Calibri"/>
                <w:sz w:val="22"/>
                <w:szCs w:val="22"/>
              </w:rPr>
              <w:t>the same level of fragmentation across different instrument platforms. Collision gases and pressures will vary.</w:t>
            </w:r>
            <w:r w:rsidR="00502CD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E7065">
              <w:rPr>
                <w:rFonts w:ascii="Calibri" w:hAnsi="Calibri" w:cs="Calibri"/>
                <w:sz w:val="22"/>
                <w:szCs w:val="22"/>
              </w:rPr>
              <w:t>Fragmentor</w:t>
            </w:r>
            <w:proofErr w:type="spellEnd"/>
            <w:r w:rsidRPr="00CE7065">
              <w:rPr>
                <w:rFonts w:ascii="Calibri" w:hAnsi="Calibri" w:cs="Calibri"/>
                <w:sz w:val="22"/>
                <w:szCs w:val="22"/>
              </w:rPr>
              <w:t xml:space="preserve"> voltage is not a parameter found on all instruments</w:t>
            </w:r>
            <w:r w:rsidR="00502CDC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5E127DDE" w14:textId="50013A5F" w:rsidR="00502CDC" w:rsidRPr="00CE7065" w:rsidRDefault="00502CDC" w:rsidP="00502CDC">
            <w:pPr>
              <w:spacing w:after="160" w:line="259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Details of the validation and specific instrument used in the procedure could be helpful to the user of the pharmacopoeia.</w:t>
            </w:r>
          </w:p>
        </w:tc>
      </w:tr>
      <w:tr w:rsidR="00CE7065" w14:paraId="27384D47" w14:textId="77777777" w:rsidTr="00E61796">
        <w:tc>
          <w:tcPr>
            <w:tcW w:w="440" w:type="dxa"/>
          </w:tcPr>
          <w:p w14:paraId="48D898CD" w14:textId="71B871C0" w:rsidR="00CE7065" w:rsidRPr="00CE7065" w:rsidRDefault="00494B81" w:rsidP="00E84128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507" w:type="dxa"/>
          </w:tcPr>
          <w:p w14:paraId="07FE925F" w14:textId="5295688C" w:rsidR="00CE7065" w:rsidRPr="00CE7065" w:rsidRDefault="00CE7065" w:rsidP="00E84128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E7065">
              <w:rPr>
                <w:rFonts w:asciiTheme="minorHAnsi" w:hAnsiTheme="minorHAnsi" w:cstheme="minorHAnsi"/>
                <w:sz w:val="22"/>
                <w:szCs w:val="22"/>
              </w:rPr>
              <w:t>Method A and C</w:t>
            </w:r>
          </w:p>
        </w:tc>
        <w:tc>
          <w:tcPr>
            <w:tcW w:w="2293" w:type="dxa"/>
          </w:tcPr>
          <w:p w14:paraId="4C41EB14" w14:textId="5AA61FD4" w:rsidR="00CE7065" w:rsidRPr="00CE7065" w:rsidRDefault="00CE7065" w:rsidP="00E84128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E7065">
              <w:rPr>
                <w:rFonts w:asciiTheme="minorHAnsi" w:hAnsiTheme="minorHAnsi" w:cstheme="minorHAnsi"/>
                <w:sz w:val="22"/>
                <w:szCs w:val="22"/>
              </w:rPr>
              <w:t xml:space="preserve">Method </w:t>
            </w:r>
            <w:r w:rsidR="00AE3F3E">
              <w:rPr>
                <w:rFonts w:asciiTheme="minorHAnsi" w:hAnsiTheme="minorHAnsi" w:cstheme="minorHAnsi"/>
                <w:sz w:val="22"/>
                <w:szCs w:val="22"/>
              </w:rPr>
              <w:t>specificity</w:t>
            </w:r>
            <w:r w:rsidRPr="00CE706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274" w:type="dxa"/>
          </w:tcPr>
          <w:p w14:paraId="17E42A52" w14:textId="183C2A5D" w:rsidR="00CE7065" w:rsidRPr="00CE7065" w:rsidRDefault="00CE7065" w:rsidP="00E84128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E7065">
              <w:rPr>
                <w:rFonts w:asciiTheme="minorHAnsi" w:hAnsiTheme="minorHAnsi" w:cstheme="minorHAnsi"/>
                <w:sz w:val="22"/>
                <w:szCs w:val="22"/>
              </w:rPr>
              <w:t xml:space="preserve">For the GC-MS and GC-MS/MS method, the station phase and film thickness in the </w:t>
            </w:r>
            <w:r w:rsidRPr="00CE706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proposed methods may not be the optimum and</w:t>
            </w:r>
            <w:r w:rsidR="00502CDC">
              <w:rPr>
                <w:rFonts w:asciiTheme="minorHAnsi" w:hAnsiTheme="minorHAnsi" w:cstheme="minorHAnsi"/>
                <w:sz w:val="22"/>
                <w:szCs w:val="22"/>
              </w:rPr>
              <w:t>/or the</w:t>
            </w:r>
            <w:r w:rsidRPr="00CE7065">
              <w:rPr>
                <w:rFonts w:asciiTheme="minorHAnsi" w:hAnsiTheme="minorHAnsi" w:cstheme="minorHAnsi"/>
                <w:sz w:val="22"/>
                <w:szCs w:val="22"/>
              </w:rPr>
              <w:t xml:space="preserve"> only option. </w:t>
            </w:r>
            <w:r w:rsidR="00502CDC">
              <w:rPr>
                <w:rFonts w:asciiTheme="minorHAnsi" w:hAnsiTheme="minorHAnsi" w:cstheme="minorHAnsi"/>
                <w:sz w:val="22"/>
                <w:szCs w:val="22"/>
              </w:rPr>
              <w:t xml:space="preserve">Consideration should be given to </w:t>
            </w:r>
            <w:r w:rsidR="00AE3F3E">
              <w:rPr>
                <w:rFonts w:asciiTheme="minorHAnsi" w:hAnsiTheme="minorHAnsi" w:cstheme="minorHAnsi"/>
                <w:sz w:val="22"/>
                <w:szCs w:val="22"/>
              </w:rPr>
              <w:t>allowing</w:t>
            </w:r>
            <w:r w:rsidRPr="00CE7065">
              <w:rPr>
                <w:rFonts w:asciiTheme="minorHAnsi" w:hAnsiTheme="minorHAnsi" w:cstheme="minorHAnsi"/>
                <w:sz w:val="22"/>
                <w:szCs w:val="22"/>
              </w:rPr>
              <w:t xml:space="preserve"> any stationary phase with certain film thickness </w:t>
            </w:r>
            <w:r w:rsidR="00AE3F3E">
              <w:rPr>
                <w:rFonts w:asciiTheme="minorHAnsi" w:hAnsiTheme="minorHAnsi" w:cstheme="minorHAnsi"/>
                <w:sz w:val="22"/>
                <w:szCs w:val="22"/>
              </w:rPr>
              <w:t xml:space="preserve">that </w:t>
            </w:r>
            <w:r w:rsidRPr="00CE7065">
              <w:rPr>
                <w:rFonts w:asciiTheme="minorHAnsi" w:hAnsiTheme="minorHAnsi" w:cstheme="minorHAnsi"/>
                <w:sz w:val="22"/>
                <w:szCs w:val="22"/>
              </w:rPr>
              <w:t xml:space="preserve">can provide acceptable peak shape and selectivity for the analysis of </w:t>
            </w:r>
            <w:r w:rsidR="00502CDC">
              <w:rPr>
                <w:rFonts w:asciiTheme="minorHAnsi" w:hAnsiTheme="minorHAnsi" w:cstheme="minorHAnsi"/>
                <w:sz w:val="22"/>
                <w:szCs w:val="22"/>
              </w:rPr>
              <w:t xml:space="preserve">the specified </w:t>
            </w:r>
            <w:r w:rsidRPr="00CE7065">
              <w:rPr>
                <w:rFonts w:asciiTheme="minorHAnsi" w:hAnsiTheme="minorHAnsi" w:cstheme="minorHAnsi"/>
                <w:sz w:val="22"/>
                <w:szCs w:val="22"/>
              </w:rPr>
              <w:t>Nitrosamines.</w:t>
            </w:r>
          </w:p>
        </w:tc>
      </w:tr>
      <w:tr w:rsidR="00CE7065" w14:paraId="42935FA7" w14:textId="77777777" w:rsidTr="00E61796">
        <w:tc>
          <w:tcPr>
            <w:tcW w:w="440" w:type="dxa"/>
          </w:tcPr>
          <w:p w14:paraId="75D73A19" w14:textId="6F1F004D" w:rsidR="00CE7065" w:rsidRPr="00CE7065" w:rsidRDefault="00494B81" w:rsidP="00E84128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</w:t>
            </w:r>
          </w:p>
        </w:tc>
        <w:tc>
          <w:tcPr>
            <w:tcW w:w="2507" w:type="dxa"/>
          </w:tcPr>
          <w:p w14:paraId="2C6227B5" w14:textId="757DD360" w:rsidR="00CE7065" w:rsidRPr="00CE7065" w:rsidRDefault="00CE7065" w:rsidP="00E84128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E7065">
              <w:rPr>
                <w:rFonts w:asciiTheme="minorHAnsi" w:hAnsiTheme="minorHAnsi" w:cstheme="minorHAnsi"/>
                <w:sz w:val="22"/>
                <w:szCs w:val="22"/>
              </w:rPr>
              <w:t>Standards procedure A utilises deuterated N-</w:t>
            </w:r>
            <w:proofErr w:type="spellStart"/>
            <w:r w:rsidRPr="00CE7065">
              <w:rPr>
                <w:rFonts w:asciiTheme="minorHAnsi" w:hAnsiTheme="minorHAnsi" w:cstheme="minorHAnsi"/>
                <w:sz w:val="22"/>
                <w:szCs w:val="22"/>
              </w:rPr>
              <w:t>Nitrosodiethylamine</w:t>
            </w:r>
            <w:proofErr w:type="spellEnd"/>
            <w:r w:rsidRPr="00CE7065">
              <w:rPr>
                <w:rFonts w:asciiTheme="minorHAnsi" w:hAnsiTheme="minorHAnsi" w:cstheme="minorHAnsi"/>
                <w:sz w:val="22"/>
                <w:szCs w:val="22"/>
              </w:rPr>
              <w:t xml:space="preserve"> NDEA-d</w:t>
            </w:r>
            <w:r w:rsidRPr="00CE7065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10</w:t>
            </w:r>
            <w:r w:rsidRPr="00CE7065">
              <w:rPr>
                <w:rFonts w:asciiTheme="minorHAnsi" w:hAnsiTheme="minorHAnsi" w:cstheme="minorHAnsi"/>
                <w:sz w:val="22"/>
                <w:szCs w:val="22"/>
              </w:rPr>
              <w:t>) as an internal standard, whereas method B and C use N-</w:t>
            </w:r>
            <w:proofErr w:type="spellStart"/>
            <w:r w:rsidRPr="00CE7065">
              <w:rPr>
                <w:rFonts w:asciiTheme="minorHAnsi" w:hAnsiTheme="minorHAnsi" w:cstheme="minorHAnsi"/>
                <w:sz w:val="22"/>
                <w:szCs w:val="22"/>
              </w:rPr>
              <w:t>Nitrosoethylmethylamine</w:t>
            </w:r>
            <w:proofErr w:type="spellEnd"/>
            <w:r w:rsidRPr="00CE7065">
              <w:rPr>
                <w:rFonts w:asciiTheme="minorHAnsi" w:hAnsiTheme="minorHAnsi" w:cstheme="minorHAnsi"/>
                <w:sz w:val="22"/>
                <w:szCs w:val="22"/>
              </w:rPr>
              <w:t xml:space="preserve"> NEMA as an internal standard </w:t>
            </w:r>
          </w:p>
        </w:tc>
        <w:tc>
          <w:tcPr>
            <w:tcW w:w="2293" w:type="dxa"/>
          </w:tcPr>
          <w:p w14:paraId="4D57223C" w14:textId="77777777" w:rsidR="00AE3F3E" w:rsidRDefault="00AE3F3E" w:rsidP="00E84128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CE7065" w:rsidRPr="00CE7065">
              <w:rPr>
                <w:rFonts w:asciiTheme="minorHAnsi" w:hAnsiTheme="minorHAnsi" w:cstheme="minorHAnsi"/>
                <w:sz w:val="22"/>
                <w:szCs w:val="22"/>
              </w:rPr>
              <w:t xml:space="preserve">easurement uncertainty </w:t>
            </w:r>
          </w:p>
          <w:p w14:paraId="4C9A1F7F" w14:textId="57F57BEE" w:rsidR="00CE7065" w:rsidRPr="00CE7065" w:rsidRDefault="00CE7065" w:rsidP="00E84128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</w:tcPr>
          <w:p w14:paraId="4FB735AF" w14:textId="717606F3" w:rsidR="00CE7065" w:rsidRPr="00CE7065" w:rsidRDefault="00CE7065" w:rsidP="00E84128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E7065">
              <w:rPr>
                <w:rFonts w:asciiTheme="minorHAnsi" w:hAnsiTheme="minorHAnsi" w:cstheme="minorHAnsi"/>
                <w:sz w:val="22"/>
                <w:szCs w:val="22"/>
              </w:rPr>
              <w:t xml:space="preserve">Deuterated internal standards (NDEA-d10) provided inherently greater accuracy and precision when compared to </w:t>
            </w:r>
            <w:r w:rsidR="00AE3F3E">
              <w:rPr>
                <w:rFonts w:asciiTheme="minorHAnsi" w:hAnsiTheme="minorHAnsi" w:cstheme="minorHAnsi"/>
                <w:sz w:val="22"/>
                <w:szCs w:val="22"/>
              </w:rPr>
              <w:t xml:space="preserve">use of </w:t>
            </w:r>
            <w:r w:rsidRPr="00CE7065">
              <w:rPr>
                <w:rFonts w:asciiTheme="minorHAnsi" w:hAnsiTheme="minorHAnsi" w:cstheme="minorHAnsi"/>
                <w:sz w:val="22"/>
                <w:szCs w:val="22"/>
              </w:rPr>
              <w:t>a structurally similar internal standard (NEMA). I</w:t>
            </w:r>
            <w:r w:rsidR="00AE3F3E">
              <w:rPr>
                <w:rFonts w:asciiTheme="minorHAnsi" w:hAnsiTheme="minorHAnsi" w:cstheme="minorHAnsi"/>
                <w:sz w:val="22"/>
                <w:szCs w:val="22"/>
              </w:rPr>
              <w:t>t would be helpful to understand</w:t>
            </w:r>
            <w:r w:rsidRPr="00CE706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E3F3E">
              <w:rPr>
                <w:rFonts w:asciiTheme="minorHAnsi" w:hAnsiTheme="minorHAnsi" w:cstheme="minorHAnsi"/>
                <w:sz w:val="22"/>
                <w:szCs w:val="22"/>
              </w:rPr>
              <w:t xml:space="preserve">if </w:t>
            </w:r>
            <w:r w:rsidRPr="00CE7065">
              <w:rPr>
                <w:rFonts w:asciiTheme="minorHAnsi" w:hAnsiTheme="minorHAnsi" w:cstheme="minorHAnsi"/>
                <w:sz w:val="22"/>
                <w:szCs w:val="22"/>
              </w:rPr>
              <w:t xml:space="preserve">differences in measurement uncertainty </w:t>
            </w:r>
            <w:r w:rsidR="00AE3F3E">
              <w:rPr>
                <w:rFonts w:asciiTheme="minorHAnsi" w:hAnsiTheme="minorHAnsi" w:cstheme="minorHAnsi"/>
                <w:sz w:val="22"/>
                <w:szCs w:val="22"/>
              </w:rPr>
              <w:t xml:space="preserve">were observed </w:t>
            </w:r>
            <w:r w:rsidRPr="00CE7065">
              <w:rPr>
                <w:rFonts w:asciiTheme="minorHAnsi" w:hAnsiTheme="minorHAnsi" w:cstheme="minorHAnsi"/>
                <w:sz w:val="22"/>
                <w:szCs w:val="22"/>
              </w:rPr>
              <w:t>when</w:t>
            </w:r>
            <w:r w:rsidR="00AE3F3E">
              <w:rPr>
                <w:rFonts w:asciiTheme="minorHAnsi" w:hAnsiTheme="minorHAnsi" w:cstheme="minorHAnsi"/>
                <w:sz w:val="22"/>
                <w:szCs w:val="22"/>
              </w:rPr>
              <w:t xml:space="preserve"> using </w:t>
            </w:r>
            <w:r w:rsidRPr="00CE7065">
              <w:rPr>
                <w:rFonts w:asciiTheme="minorHAnsi" w:hAnsiTheme="minorHAnsi" w:cstheme="minorHAnsi"/>
                <w:sz w:val="22"/>
                <w:szCs w:val="22"/>
              </w:rPr>
              <w:t>the two different internal standards</w:t>
            </w:r>
          </w:p>
        </w:tc>
      </w:tr>
      <w:tr w:rsidR="00CE7065" w14:paraId="71422290" w14:textId="77777777" w:rsidTr="00E61796">
        <w:tc>
          <w:tcPr>
            <w:tcW w:w="440" w:type="dxa"/>
          </w:tcPr>
          <w:p w14:paraId="5513BDB1" w14:textId="6F2304EF" w:rsidR="00CE7065" w:rsidRPr="00CE7065" w:rsidRDefault="00586987" w:rsidP="00E84128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507" w:type="dxa"/>
          </w:tcPr>
          <w:p w14:paraId="56111096" w14:textId="20DCE396" w:rsidR="00CE7065" w:rsidRPr="00CE7065" w:rsidRDefault="00CE7065" w:rsidP="00E84128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E7065">
              <w:rPr>
                <w:rFonts w:asciiTheme="minorHAnsi" w:hAnsiTheme="minorHAnsi" w:cstheme="minorHAnsi"/>
                <w:sz w:val="22"/>
                <w:szCs w:val="22"/>
              </w:rPr>
              <w:t xml:space="preserve">Terminology </w:t>
            </w:r>
          </w:p>
        </w:tc>
        <w:tc>
          <w:tcPr>
            <w:tcW w:w="2293" w:type="dxa"/>
          </w:tcPr>
          <w:p w14:paraId="67B6271A" w14:textId="2663D8B3" w:rsidR="00CE7065" w:rsidRPr="00CE7065" w:rsidRDefault="00586987" w:rsidP="00E84128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Description of </w:t>
            </w:r>
            <w:r w:rsidR="00CE7065" w:rsidRPr="00CE7065">
              <w:rPr>
                <w:rFonts w:asciiTheme="minorHAnsi" w:hAnsiTheme="minorHAnsi" w:cstheme="minorHAnsi"/>
                <w:sz w:val="22"/>
                <w:szCs w:val="22"/>
              </w:rPr>
              <w:t>mass spectrometer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="00CE7065" w:rsidRPr="00CE7065">
              <w:rPr>
                <w:rFonts w:asciiTheme="minorHAnsi" w:hAnsiTheme="minorHAnsi" w:cstheme="minorHAnsi"/>
                <w:sz w:val="22"/>
                <w:szCs w:val="22"/>
              </w:rPr>
              <w:t xml:space="preserve">ion source and collision cell (MRM) parameters </w:t>
            </w:r>
          </w:p>
        </w:tc>
        <w:tc>
          <w:tcPr>
            <w:tcW w:w="4274" w:type="dxa"/>
          </w:tcPr>
          <w:p w14:paraId="6383071C" w14:textId="7D99BF9A" w:rsidR="00586987" w:rsidRDefault="00586987" w:rsidP="00E84128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Page 2 lines 15-18: </w:t>
            </w:r>
            <w:r w:rsidR="00CE7065" w:rsidRPr="00CE7065">
              <w:rPr>
                <w:rFonts w:asciiTheme="minorHAnsi" w:hAnsiTheme="minorHAnsi" w:cstheme="minorHAnsi"/>
                <w:sz w:val="22"/>
                <w:szCs w:val="22"/>
              </w:rPr>
              <w:t xml:space="preserve">Detector is not the correct terminology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CE7065" w:rsidRPr="00CE7065">
              <w:rPr>
                <w:rFonts w:asciiTheme="minorHAnsi" w:hAnsiTheme="minorHAnsi" w:cstheme="minorHAnsi"/>
                <w:sz w:val="22"/>
                <w:szCs w:val="22"/>
              </w:rPr>
              <w:t xml:space="preserve"> these are mass spectrometer ion source and collision cell (MRM)</w:t>
            </w:r>
            <w:r w:rsidR="00B2469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E7065" w:rsidRPr="00CE7065">
              <w:rPr>
                <w:rFonts w:asciiTheme="minorHAnsi" w:hAnsiTheme="minorHAnsi" w:cstheme="minorHAnsi"/>
                <w:sz w:val="22"/>
                <w:szCs w:val="22"/>
              </w:rPr>
              <w:t xml:space="preserve">parameters.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We suggest the following text for consideration:</w:t>
            </w:r>
          </w:p>
          <w:p w14:paraId="5206FDC4" w14:textId="05EE1256" w:rsidR="00CE7065" w:rsidRPr="00CE7065" w:rsidRDefault="00CE7065" w:rsidP="00E84128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E7065">
              <w:rPr>
                <w:rFonts w:asciiTheme="minorHAnsi" w:hAnsiTheme="minorHAnsi" w:cstheme="minorHAnsi"/>
                <w:sz w:val="22"/>
                <w:szCs w:val="22"/>
              </w:rPr>
              <w:t>"if the mass spectrometer has different settings (different manufacturer</w:t>
            </w:r>
            <w:r w:rsidR="00956EB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CE7065">
              <w:rPr>
                <w:rFonts w:asciiTheme="minorHAnsi" w:hAnsiTheme="minorHAnsi" w:cstheme="minorHAnsi"/>
                <w:sz w:val="22"/>
                <w:szCs w:val="22"/>
              </w:rPr>
              <w:t xml:space="preserve"> for example), optimise the ion source and MRM parameters...."</w:t>
            </w:r>
          </w:p>
        </w:tc>
      </w:tr>
      <w:tr w:rsidR="00CE7065" w14:paraId="02C52B9E" w14:textId="77777777" w:rsidTr="00E61796">
        <w:tc>
          <w:tcPr>
            <w:tcW w:w="440" w:type="dxa"/>
          </w:tcPr>
          <w:p w14:paraId="36D8AB83" w14:textId="53F42745" w:rsidR="00CE7065" w:rsidRPr="00CE7065" w:rsidRDefault="00586987" w:rsidP="00E84128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507" w:type="dxa"/>
          </w:tcPr>
          <w:p w14:paraId="45D8A575" w14:textId="71612516" w:rsidR="00CE7065" w:rsidRPr="00CE7065" w:rsidRDefault="00CE7065" w:rsidP="00E84128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E7065">
              <w:rPr>
                <w:rFonts w:asciiTheme="minorHAnsi" w:hAnsiTheme="minorHAnsi" w:cstheme="minorHAnsi"/>
                <w:sz w:val="22"/>
                <w:szCs w:val="22"/>
              </w:rPr>
              <w:t>Signal to noise ratio</w:t>
            </w:r>
          </w:p>
        </w:tc>
        <w:tc>
          <w:tcPr>
            <w:tcW w:w="2293" w:type="dxa"/>
          </w:tcPr>
          <w:p w14:paraId="2350609B" w14:textId="334EC112" w:rsidR="00CE7065" w:rsidRPr="00CE7065" w:rsidRDefault="00502CDC" w:rsidP="00E84128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S:N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calculation</w:t>
            </w:r>
          </w:p>
        </w:tc>
        <w:tc>
          <w:tcPr>
            <w:tcW w:w="4274" w:type="dxa"/>
          </w:tcPr>
          <w:p w14:paraId="5D96F1C0" w14:textId="1154D534" w:rsidR="00CE7065" w:rsidRPr="00CE7065" w:rsidRDefault="00CE7065" w:rsidP="00E84128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E7065">
              <w:rPr>
                <w:rFonts w:asciiTheme="minorHAnsi" w:hAnsiTheme="minorHAnsi" w:cstheme="minorHAnsi"/>
                <w:sz w:val="22"/>
                <w:szCs w:val="22"/>
              </w:rPr>
              <w:t xml:space="preserve">Is greater clarity required for the </w:t>
            </w:r>
            <w:proofErr w:type="gramStart"/>
            <w:r w:rsidRPr="00CE7065">
              <w:rPr>
                <w:rFonts w:asciiTheme="minorHAnsi" w:hAnsiTheme="minorHAnsi" w:cstheme="minorHAnsi"/>
                <w:sz w:val="22"/>
                <w:szCs w:val="22"/>
              </w:rPr>
              <w:t>S:N</w:t>
            </w:r>
            <w:proofErr w:type="gramEnd"/>
            <w:r w:rsidRPr="00CE7065">
              <w:rPr>
                <w:rFonts w:asciiTheme="minorHAnsi" w:hAnsiTheme="minorHAnsi" w:cstheme="minorHAnsi"/>
                <w:sz w:val="22"/>
                <w:szCs w:val="22"/>
              </w:rPr>
              <w:t xml:space="preserve"> calculation </w:t>
            </w:r>
            <w:r w:rsidR="00956EBD">
              <w:rPr>
                <w:rFonts w:asciiTheme="minorHAnsi" w:hAnsiTheme="minorHAnsi" w:cstheme="minorHAnsi"/>
                <w:sz w:val="22"/>
                <w:szCs w:val="22"/>
              </w:rPr>
              <w:t xml:space="preserve">because of the need to determine </w:t>
            </w:r>
            <w:r w:rsidRPr="00CE7065">
              <w:rPr>
                <w:rFonts w:asciiTheme="minorHAnsi" w:hAnsiTheme="minorHAnsi" w:cstheme="minorHAnsi"/>
                <w:sz w:val="22"/>
                <w:szCs w:val="22"/>
              </w:rPr>
              <w:t xml:space="preserve"> trace levels</w:t>
            </w:r>
            <w:r w:rsidR="00956EBD">
              <w:rPr>
                <w:rFonts w:asciiTheme="minorHAnsi" w:hAnsiTheme="minorHAnsi" w:cstheme="minorHAnsi"/>
                <w:sz w:val="22"/>
                <w:szCs w:val="22"/>
              </w:rPr>
              <w:t xml:space="preserve"> of nitrosamines</w:t>
            </w:r>
            <w:r w:rsidRPr="00CE7065">
              <w:rPr>
                <w:rFonts w:asciiTheme="minorHAnsi" w:hAnsiTheme="minorHAnsi" w:cstheme="minorHAnsi"/>
                <w:sz w:val="22"/>
                <w:szCs w:val="22"/>
              </w:rPr>
              <w:t xml:space="preserve">? Many software packages can automatically calculate </w:t>
            </w:r>
            <w:proofErr w:type="gramStart"/>
            <w:r w:rsidRPr="00CE7065">
              <w:rPr>
                <w:rFonts w:asciiTheme="minorHAnsi" w:hAnsiTheme="minorHAnsi" w:cstheme="minorHAnsi"/>
                <w:sz w:val="22"/>
                <w:szCs w:val="22"/>
              </w:rPr>
              <w:t>S:N</w:t>
            </w:r>
            <w:proofErr w:type="gramEnd"/>
            <w:r w:rsidRPr="00CE7065">
              <w:rPr>
                <w:rFonts w:asciiTheme="minorHAnsi" w:hAnsiTheme="minorHAnsi" w:cstheme="minorHAnsi"/>
                <w:sz w:val="22"/>
                <w:szCs w:val="22"/>
              </w:rPr>
              <w:t xml:space="preserve"> but </w:t>
            </w:r>
            <w:r w:rsidR="008A608C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956EBD">
              <w:rPr>
                <w:rFonts w:asciiTheme="minorHAnsi" w:hAnsiTheme="minorHAnsi" w:cstheme="minorHAnsi"/>
                <w:sz w:val="22"/>
                <w:szCs w:val="22"/>
              </w:rPr>
              <w:t>algorithm used may not be apparent</w:t>
            </w:r>
          </w:p>
        </w:tc>
      </w:tr>
      <w:tr w:rsidR="00CE7065" w14:paraId="4370739E" w14:textId="77777777" w:rsidTr="00E61796">
        <w:tc>
          <w:tcPr>
            <w:tcW w:w="440" w:type="dxa"/>
          </w:tcPr>
          <w:p w14:paraId="631644CE" w14:textId="2B27E333" w:rsidR="00CE7065" w:rsidRPr="00CE7065" w:rsidRDefault="00586987" w:rsidP="00E84128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507" w:type="dxa"/>
          </w:tcPr>
          <w:p w14:paraId="6746145A" w14:textId="3138976F" w:rsidR="00CE7065" w:rsidRPr="00CE7065" w:rsidRDefault="00CE7065" w:rsidP="00E84128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E7065">
              <w:rPr>
                <w:rFonts w:asciiTheme="minorHAnsi" w:hAnsiTheme="minorHAnsi" w:cstheme="minorHAnsi"/>
                <w:sz w:val="22"/>
                <w:szCs w:val="22"/>
              </w:rPr>
              <w:t xml:space="preserve">Scope of Validation </w:t>
            </w:r>
          </w:p>
        </w:tc>
        <w:tc>
          <w:tcPr>
            <w:tcW w:w="2293" w:type="dxa"/>
          </w:tcPr>
          <w:p w14:paraId="0687A6C0" w14:textId="71180351" w:rsidR="00CE7065" w:rsidRPr="00CE7065" w:rsidRDefault="00CE7065" w:rsidP="00E84128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E7065">
              <w:rPr>
                <w:rFonts w:asciiTheme="minorHAnsi" w:hAnsiTheme="minorHAnsi" w:cstheme="minorHAnsi"/>
                <w:sz w:val="22"/>
                <w:szCs w:val="22"/>
              </w:rPr>
              <w:t xml:space="preserve">Potential interference </w:t>
            </w:r>
          </w:p>
        </w:tc>
        <w:tc>
          <w:tcPr>
            <w:tcW w:w="4274" w:type="dxa"/>
          </w:tcPr>
          <w:p w14:paraId="582F3D64" w14:textId="395E2339" w:rsidR="00B24690" w:rsidRDefault="00A20070" w:rsidP="00E84128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CE7065">
              <w:rPr>
                <w:rFonts w:asciiTheme="minorHAnsi" w:hAnsiTheme="minorHAnsi" w:cstheme="minorHAnsi"/>
                <w:sz w:val="22"/>
                <w:szCs w:val="22"/>
              </w:rPr>
              <w:t xml:space="preserve">f DMF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is</w:t>
            </w:r>
            <w:r w:rsidRPr="00CE7065">
              <w:rPr>
                <w:rFonts w:asciiTheme="minorHAnsi" w:hAnsiTheme="minorHAnsi" w:cstheme="minorHAnsi"/>
                <w:sz w:val="22"/>
                <w:szCs w:val="22"/>
              </w:rPr>
              <w:t xml:space="preserve"> used in the API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synthesis then </w:t>
            </w:r>
            <w:r w:rsidR="00CE7065" w:rsidRPr="00CE7065">
              <w:rPr>
                <w:rFonts w:asciiTheme="minorHAnsi" w:hAnsiTheme="minorHAnsi" w:cstheme="minorHAnsi"/>
                <w:sz w:val="22"/>
                <w:szCs w:val="22"/>
              </w:rPr>
              <w:t xml:space="preserve">LC-MS/MS without high MS resolution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may be a sub-optimal approach for</w:t>
            </w:r>
            <w:r w:rsidR="00CE7065" w:rsidRPr="00CE7065">
              <w:rPr>
                <w:rFonts w:asciiTheme="minorHAnsi" w:hAnsiTheme="minorHAnsi" w:cstheme="minorHAnsi"/>
                <w:sz w:val="22"/>
                <w:szCs w:val="22"/>
              </w:rPr>
              <w:t xml:space="preserve"> test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ing</w:t>
            </w:r>
            <w:r w:rsidR="00CE7065" w:rsidRPr="00CE7065">
              <w:rPr>
                <w:rFonts w:asciiTheme="minorHAnsi" w:hAnsiTheme="minorHAnsi" w:cstheme="minorHAnsi"/>
                <w:sz w:val="22"/>
                <w:szCs w:val="22"/>
              </w:rPr>
              <w:t xml:space="preserve"> NDMA due to the potential DMF interference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CE7065" w:rsidRPr="00CE706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Was interference by DMF evaluated in the development/validation of these methods?</w:t>
            </w:r>
          </w:p>
          <w:p w14:paraId="1D14D65D" w14:textId="13D9D1BD" w:rsidR="00CE7065" w:rsidRPr="00CE7065" w:rsidRDefault="00CE7065" w:rsidP="008A608C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E7065">
              <w:rPr>
                <w:rFonts w:asciiTheme="minorHAnsi" w:hAnsiTheme="minorHAnsi" w:cstheme="minorHAnsi"/>
                <w:sz w:val="22"/>
                <w:szCs w:val="22"/>
              </w:rPr>
              <w:t>Method A risks potential false positive</w:t>
            </w:r>
            <w:r w:rsidR="00A20070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CE7065">
              <w:rPr>
                <w:rFonts w:asciiTheme="minorHAnsi" w:hAnsiTheme="minorHAnsi" w:cstheme="minorHAnsi"/>
                <w:sz w:val="22"/>
                <w:szCs w:val="22"/>
              </w:rPr>
              <w:t xml:space="preserve"> due to DMF for NDMA analysis. </w:t>
            </w:r>
            <w:r w:rsidR="008A608C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8A608C" w:rsidRPr="00CE7065">
              <w:rPr>
                <w:rFonts w:asciiTheme="minorHAnsi" w:hAnsiTheme="minorHAnsi" w:cstheme="minorHAnsi"/>
                <w:sz w:val="22"/>
                <w:szCs w:val="22"/>
              </w:rPr>
              <w:t xml:space="preserve">esolution of DMF and NDMA </w:t>
            </w:r>
            <w:r w:rsidR="008A608C">
              <w:rPr>
                <w:rFonts w:asciiTheme="minorHAnsi" w:hAnsiTheme="minorHAnsi" w:cstheme="minorHAnsi"/>
                <w:sz w:val="22"/>
                <w:szCs w:val="22"/>
              </w:rPr>
              <w:t xml:space="preserve">in </w:t>
            </w:r>
            <w:r w:rsidR="00A20070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CE7065">
              <w:rPr>
                <w:rFonts w:asciiTheme="minorHAnsi" w:hAnsiTheme="minorHAnsi" w:cstheme="minorHAnsi"/>
                <w:sz w:val="22"/>
                <w:szCs w:val="22"/>
              </w:rPr>
              <w:t>ethod</w:t>
            </w:r>
            <w:r w:rsidR="00A20070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CE7065">
              <w:rPr>
                <w:rFonts w:asciiTheme="minorHAnsi" w:hAnsiTheme="minorHAnsi" w:cstheme="minorHAnsi"/>
                <w:sz w:val="22"/>
                <w:szCs w:val="22"/>
              </w:rPr>
              <w:t xml:space="preserve"> B and C </w:t>
            </w:r>
            <w:r w:rsidR="008A608C">
              <w:rPr>
                <w:rFonts w:asciiTheme="minorHAnsi" w:hAnsiTheme="minorHAnsi" w:cstheme="minorHAnsi"/>
                <w:sz w:val="22"/>
                <w:szCs w:val="22"/>
              </w:rPr>
              <w:t>would also be a concern.</w:t>
            </w:r>
          </w:p>
        </w:tc>
      </w:tr>
    </w:tbl>
    <w:p w14:paraId="03A40CAD" w14:textId="1C32EF85" w:rsidR="00E84128" w:rsidRDefault="00E84128" w:rsidP="00E84128">
      <w:pPr>
        <w:spacing w:after="160" w:line="259" w:lineRule="auto"/>
      </w:pPr>
    </w:p>
    <w:sectPr w:rsidR="00E84128" w:rsidSect="00642E70"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57838" w14:textId="77777777" w:rsidR="004A13F3" w:rsidRDefault="004A13F3" w:rsidP="004F4879">
      <w:pPr>
        <w:spacing w:after="0" w:line="240" w:lineRule="auto"/>
      </w:pPr>
      <w:r>
        <w:separator/>
      </w:r>
    </w:p>
  </w:endnote>
  <w:endnote w:type="continuationSeparator" w:id="0">
    <w:p w14:paraId="133E564C" w14:textId="77777777" w:rsidR="004A13F3" w:rsidRDefault="004A13F3" w:rsidP="004F4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4D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976495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905328C" w14:textId="728DB5C1" w:rsidR="000519E8" w:rsidRDefault="000519E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5B9191D" w14:textId="77777777" w:rsidR="000519E8" w:rsidRDefault="000519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70973E" w14:textId="77777777" w:rsidR="004A13F3" w:rsidRDefault="004A13F3" w:rsidP="004F4879">
      <w:pPr>
        <w:spacing w:after="0" w:line="240" w:lineRule="auto"/>
      </w:pPr>
      <w:r>
        <w:separator/>
      </w:r>
    </w:p>
  </w:footnote>
  <w:footnote w:type="continuationSeparator" w:id="0">
    <w:p w14:paraId="76E26DEF" w14:textId="77777777" w:rsidR="004A13F3" w:rsidRDefault="004A13F3" w:rsidP="004F4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096A4" w14:textId="3B9F2AEA" w:rsidR="000519E8" w:rsidRDefault="000519E8">
    <w:pPr>
      <w:pStyle w:val="Header"/>
    </w:pPr>
    <w:r w:rsidRPr="000519E8">
      <w:rPr>
        <w:rFonts w:ascii="Calibri" w:eastAsia="Times New Roman" w:hAnsi="Calibri" w:cs="Times New Roman"/>
        <w:noProof/>
        <w:lang w:eastAsia="en-GB"/>
      </w:rPr>
      <w:drawing>
        <wp:anchor distT="0" distB="0" distL="0" distR="0" simplePos="0" relativeHeight="251659264" behindDoc="0" locked="0" layoutInCell="1" allowOverlap="1" wp14:anchorId="5FAC568F" wp14:editId="3D125490">
          <wp:simplePos x="0" y="0"/>
          <wp:positionH relativeFrom="margin">
            <wp:align>left</wp:align>
          </wp:positionH>
          <wp:positionV relativeFrom="paragraph">
            <wp:posOffset>-160123</wp:posOffset>
          </wp:positionV>
          <wp:extent cx="2369057" cy="724811"/>
          <wp:effectExtent l="0" t="0" r="0" b="0"/>
          <wp:wrapNone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69057" cy="7248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60533CA" w14:textId="0342E6FE" w:rsidR="000519E8" w:rsidRDefault="000519E8">
    <w:pPr>
      <w:pStyle w:val="Header"/>
    </w:pPr>
  </w:p>
  <w:p w14:paraId="4781FBB8" w14:textId="7649E736" w:rsidR="000519E8" w:rsidRDefault="000519E8">
    <w:pPr>
      <w:pStyle w:val="Header"/>
    </w:pPr>
    <w:r w:rsidRPr="00D26C35">
      <w:rPr>
        <w:b/>
        <w:noProof/>
        <w:color w:val="31808B"/>
        <w:lang w:eastAsia="en-GB"/>
      </w:rPr>
      <w:drawing>
        <wp:anchor distT="0" distB="0" distL="114300" distR="114300" simplePos="0" relativeHeight="251661312" behindDoc="1" locked="0" layoutInCell="1" allowOverlap="1" wp14:anchorId="59FED173" wp14:editId="189DBC34">
          <wp:simplePos x="0" y="0"/>
          <wp:positionH relativeFrom="margin">
            <wp:align>left</wp:align>
          </wp:positionH>
          <wp:positionV relativeFrom="page">
            <wp:posOffset>1120775</wp:posOffset>
          </wp:positionV>
          <wp:extent cx="5757545" cy="603885"/>
          <wp:effectExtent l="0" t="0" r="0" b="5715"/>
          <wp:wrapTight wrapText="bothSides">
            <wp:wrapPolygon edited="0">
              <wp:start x="0" y="0"/>
              <wp:lineTo x="0" y="21123"/>
              <wp:lineTo x="21512" y="21123"/>
              <wp:lineTo x="21512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FPHIA-template-image-banner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57545" cy="603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64D727" w14:textId="77777777" w:rsidR="000519E8" w:rsidRDefault="000519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E79BA"/>
    <w:multiLevelType w:val="hybridMultilevel"/>
    <w:tmpl w:val="4C2A5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057D0"/>
    <w:multiLevelType w:val="hybridMultilevel"/>
    <w:tmpl w:val="252A3C74"/>
    <w:lvl w:ilvl="0" w:tplc="03DC76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83D68"/>
    <w:multiLevelType w:val="hybridMultilevel"/>
    <w:tmpl w:val="FF5C0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C294C"/>
    <w:multiLevelType w:val="hybridMultilevel"/>
    <w:tmpl w:val="D7AC83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492831"/>
    <w:multiLevelType w:val="hybridMultilevel"/>
    <w:tmpl w:val="E8465160"/>
    <w:lvl w:ilvl="0" w:tplc="216ECA1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A20F6"/>
    <w:multiLevelType w:val="hybridMultilevel"/>
    <w:tmpl w:val="8D6273B2"/>
    <w:lvl w:ilvl="0" w:tplc="E7EE173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9E7C46">
      <w:start w:val="4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68735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1C869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BA852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68B81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1C393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80534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A8B8E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BC865D0"/>
    <w:multiLevelType w:val="hybridMultilevel"/>
    <w:tmpl w:val="50E4C4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52E80"/>
    <w:multiLevelType w:val="hybridMultilevel"/>
    <w:tmpl w:val="002E672E"/>
    <w:lvl w:ilvl="0" w:tplc="43FEBF56">
      <w:numFmt w:val="bullet"/>
      <w:lvlText w:val="–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D0A4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AD66725"/>
    <w:multiLevelType w:val="hybridMultilevel"/>
    <w:tmpl w:val="0592F308"/>
    <w:lvl w:ilvl="0" w:tplc="ED4CFEA0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51ECA"/>
    <w:multiLevelType w:val="hybridMultilevel"/>
    <w:tmpl w:val="CD722D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1222D9"/>
    <w:multiLevelType w:val="hybridMultilevel"/>
    <w:tmpl w:val="127EAF1A"/>
    <w:lvl w:ilvl="0" w:tplc="1FC091C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20E72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962CF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82ED3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FEC43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32CBC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7EECC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AE554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0607F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81A49B8"/>
    <w:multiLevelType w:val="hybridMultilevel"/>
    <w:tmpl w:val="A09063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4651A6"/>
    <w:multiLevelType w:val="hybridMultilevel"/>
    <w:tmpl w:val="2B96A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61BA0"/>
    <w:multiLevelType w:val="hybridMultilevel"/>
    <w:tmpl w:val="0D46B0CC"/>
    <w:lvl w:ilvl="0" w:tplc="32AEBEE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523636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40B42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CCE36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BE25E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A0217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72954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9C941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0693A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B430586"/>
    <w:multiLevelType w:val="hybridMultilevel"/>
    <w:tmpl w:val="0EAC46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C57815"/>
    <w:multiLevelType w:val="hybridMultilevel"/>
    <w:tmpl w:val="26A62306"/>
    <w:lvl w:ilvl="0" w:tplc="5054207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E76A50"/>
    <w:multiLevelType w:val="hybridMultilevel"/>
    <w:tmpl w:val="7EB2181C"/>
    <w:lvl w:ilvl="0" w:tplc="2D60099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626226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24D98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1A3EB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36E6B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B47DB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8ABE3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3CE64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14F5A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D8D2200"/>
    <w:multiLevelType w:val="hybridMultilevel"/>
    <w:tmpl w:val="21DAEC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632E7F"/>
    <w:multiLevelType w:val="hybridMultilevel"/>
    <w:tmpl w:val="B1DA73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C9742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3E05462"/>
    <w:multiLevelType w:val="hybridMultilevel"/>
    <w:tmpl w:val="E536F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ED5379"/>
    <w:multiLevelType w:val="hybridMultilevel"/>
    <w:tmpl w:val="455E7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1"/>
  </w:num>
  <w:num w:numId="4">
    <w:abstractNumId w:val="5"/>
  </w:num>
  <w:num w:numId="5">
    <w:abstractNumId w:val="7"/>
  </w:num>
  <w:num w:numId="6">
    <w:abstractNumId w:val="2"/>
  </w:num>
  <w:num w:numId="7">
    <w:abstractNumId w:val="13"/>
  </w:num>
  <w:num w:numId="8">
    <w:abstractNumId w:val="22"/>
  </w:num>
  <w:num w:numId="9">
    <w:abstractNumId w:val="12"/>
  </w:num>
  <w:num w:numId="10">
    <w:abstractNumId w:val="18"/>
  </w:num>
  <w:num w:numId="11">
    <w:abstractNumId w:val="16"/>
  </w:num>
  <w:num w:numId="12">
    <w:abstractNumId w:val="19"/>
  </w:num>
  <w:num w:numId="13">
    <w:abstractNumId w:val="10"/>
  </w:num>
  <w:num w:numId="14">
    <w:abstractNumId w:val="4"/>
  </w:num>
  <w:num w:numId="15">
    <w:abstractNumId w:val="0"/>
  </w:num>
  <w:num w:numId="16">
    <w:abstractNumId w:val="20"/>
  </w:num>
  <w:num w:numId="17">
    <w:abstractNumId w:val="15"/>
  </w:num>
  <w:num w:numId="18">
    <w:abstractNumId w:val="8"/>
  </w:num>
  <w:num w:numId="19">
    <w:abstractNumId w:val="6"/>
  </w:num>
  <w:num w:numId="20">
    <w:abstractNumId w:val="1"/>
  </w:num>
  <w:num w:numId="21">
    <w:abstractNumId w:val="21"/>
  </w:num>
  <w:num w:numId="22">
    <w:abstractNumId w:val="9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152"/>
    <w:rsid w:val="00031D66"/>
    <w:rsid w:val="000345E3"/>
    <w:rsid w:val="000407B2"/>
    <w:rsid w:val="00051633"/>
    <w:rsid w:val="000519E8"/>
    <w:rsid w:val="00054152"/>
    <w:rsid w:val="00064E42"/>
    <w:rsid w:val="000666AB"/>
    <w:rsid w:val="00082D74"/>
    <w:rsid w:val="00087F72"/>
    <w:rsid w:val="0009049C"/>
    <w:rsid w:val="00096D62"/>
    <w:rsid w:val="000B7702"/>
    <w:rsid w:val="000D4BFD"/>
    <w:rsid w:val="000E76EA"/>
    <w:rsid w:val="00100D56"/>
    <w:rsid w:val="00102F01"/>
    <w:rsid w:val="00107E5C"/>
    <w:rsid w:val="001330CF"/>
    <w:rsid w:val="00134A89"/>
    <w:rsid w:val="00140F04"/>
    <w:rsid w:val="00147D87"/>
    <w:rsid w:val="00152B75"/>
    <w:rsid w:val="0015617F"/>
    <w:rsid w:val="00170709"/>
    <w:rsid w:val="00187B89"/>
    <w:rsid w:val="001B4591"/>
    <w:rsid w:val="001C0CA2"/>
    <w:rsid w:val="001C405A"/>
    <w:rsid w:val="001D29D3"/>
    <w:rsid w:val="001D4027"/>
    <w:rsid w:val="001F3A30"/>
    <w:rsid w:val="001F41CE"/>
    <w:rsid w:val="0020588F"/>
    <w:rsid w:val="002131A6"/>
    <w:rsid w:val="00222FFB"/>
    <w:rsid w:val="0024340B"/>
    <w:rsid w:val="00244183"/>
    <w:rsid w:val="0024594E"/>
    <w:rsid w:val="002558BA"/>
    <w:rsid w:val="002621AB"/>
    <w:rsid w:val="00263090"/>
    <w:rsid w:val="002636CC"/>
    <w:rsid w:val="00263D8A"/>
    <w:rsid w:val="00263FD3"/>
    <w:rsid w:val="00277A64"/>
    <w:rsid w:val="00285B24"/>
    <w:rsid w:val="00293E98"/>
    <w:rsid w:val="00296B35"/>
    <w:rsid w:val="002A639E"/>
    <w:rsid w:val="002C70DF"/>
    <w:rsid w:val="002C75C2"/>
    <w:rsid w:val="002E1BCF"/>
    <w:rsid w:val="002F1C6C"/>
    <w:rsid w:val="00302029"/>
    <w:rsid w:val="003044FF"/>
    <w:rsid w:val="00304C98"/>
    <w:rsid w:val="003217D6"/>
    <w:rsid w:val="003224F1"/>
    <w:rsid w:val="00334646"/>
    <w:rsid w:val="0033542C"/>
    <w:rsid w:val="00347709"/>
    <w:rsid w:val="003601DB"/>
    <w:rsid w:val="003619E9"/>
    <w:rsid w:val="003709E2"/>
    <w:rsid w:val="00370D1F"/>
    <w:rsid w:val="0037782C"/>
    <w:rsid w:val="0038067C"/>
    <w:rsid w:val="00384946"/>
    <w:rsid w:val="003942DB"/>
    <w:rsid w:val="003963D7"/>
    <w:rsid w:val="003A65B0"/>
    <w:rsid w:val="003C2004"/>
    <w:rsid w:val="003C712C"/>
    <w:rsid w:val="003D1E7C"/>
    <w:rsid w:val="003D3B6B"/>
    <w:rsid w:val="003D48C3"/>
    <w:rsid w:val="003D5726"/>
    <w:rsid w:val="003D6C33"/>
    <w:rsid w:val="003E0462"/>
    <w:rsid w:val="00406CAF"/>
    <w:rsid w:val="00406D36"/>
    <w:rsid w:val="00406F61"/>
    <w:rsid w:val="00422B03"/>
    <w:rsid w:val="00435A7A"/>
    <w:rsid w:val="00436F99"/>
    <w:rsid w:val="00460AAF"/>
    <w:rsid w:val="004615C8"/>
    <w:rsid w:val="00461B59"/>
    <w:rsid w:val="00482B89"/>
    <w:rsid w:val="00486636"/>
    <w:rsid w:val="00494B81"/>
    <w:rsid w:val="004A13F3"/>
    <w:rsid w:val="004A47D0"/>
    <w:rsid w:val="004C00F1"/>
    <w:rsid w:val="004D3B7A"/>
    <w:rsid w:val="004D525A"/>
    <w:rsid w:val="004E41F7"/>
    <w:rsid w:val="004E5C95"/>
    <w:rsid w:val="004E6A61"/>
    <w:rsid w:val="004F4879"/>
    <w:rsid w:val="00502CDC"/>
    <w:rsid w:val="00506C28"/>
    <w:rsid w:val="00506DD8"/>
    <w:rsid w:val="005134D4"/>
    <w:rsid w:val="00551E2C"/>
    <w:rsid w:val="00556D2B"/>
    <w:rsid w:val="00557C78"/>
    <w:rsid w:val="00560DD8"/>
    <w:rsid w:val="0056146E"/>
    <w:rsid w:val="00562778"/>
    <w:rsid w:val="00564403"/>
    <w:rsid w:val="00574298"/>
    <w:rsid w:val="005747AD"/>
    <w:rsid w:val="00581D08"/>
    <w:rsid w:val="00583ED8"/>
    <w:rsid w:val="00586987"/>
    <w:rsid w:val="00591CD9"/>
    <w:rsid w:val="005943AA"/>
    <w:rsid w:val="005B35C0"/>
    <w:rsid w:val="005B6F2B"/>
    <w:rsid w:val="005D64E8"/>
    <w:rsid w:val="005E0692"/>
    <w:rsid w:val="005F18AB"/>
    <w:rsid w:val="005F2F46"/>
    <w:rsid w:val="00606AA8"/>
    <w:rsid w:val="00613044"/>
    <w:rsid w:val="00642E70"/>
    <w:rsid w:val="00676A22"/>
    <w:rsid w:val="006870B5"/>
    <w:rsid w:val="006931BB"/>
    <w:rsid w:val="0069573F"/>
    <w:rsid w:val="006B602E"/>
    <w:rsid w:val="006D2F86"/>
    <w:rsid w:val="006F4340"/>
    <w:rsid w:val="006F7035"/>
    <w:rsid w:val="007035C4"/>
    <w:rsid w:val="00723F18"/>
    <w:rsid w:val="007314D5"/>
    <w:rsid w:val="00735DA1"/>
    <w:rsid w:val="00762153"/>
    <w:rsid w:val="007678DC"/>
    <w:rsid w:val="00773116"/>
    <w:rsid w:val="007819C9"/>
    <w:rsid w:val="00782062"/>
    <w:rsid w:val="00790CF6"/>
    <w:rsid w:val="00794648"/>
    <w:rsid w:val="007A482F"/>
    <w:rsid w:val="007C105C"/>
    <w:rsid w:val="007C1146"/>
    <w:rsid w:val="007E7D7B"/>
    <w:rsid w:val="007F53CB"/>
    <w:rsid w:val="007F774C"/>
    <w:rsid w:val="008008E8"/>
    <w:rsid w:val="00814F7B"/>
    <w:rsid w:val="008153FF"/>
    <w:rsid w:val="008201BC"/>
    <w:rsid w:val="008263D9"/>
    <w:rsid w:val="0083388B"/>
    <w:rsid w:val="00833C80"/>
    <w:rsid w:val="008366B9"/>
    <w:rsid w:val="00847888"/>
    <w:rsid w:val="00853F97"/>
    <w:rsid w:val="00856E32"/>
    <w:rsid w:val="008627AC"/>
    <w:rsid w:val="00882F02"/>
    <w:rsid w:val="008A608C"/>
    <w:rsid w:val="008A6E86"/>
    <w:rsid w:val="008B0434"/>
    <w:rsid w:val="008B089B"/>
    <w:rsid w:val="008B6559"/>
    <w:rsid w:val="008B7B15"/>
    <w:rsid w:val="008C040E"/>
    <w:rsid w:val="008C0A2A"/>
    <w:rsid w:val="008C4EB9"/>
    <w:rsid w:val="008C76EF"/>
    <w:rsid w:val="008D038F"/>
    <w:rsid w:val="008E7800"/>
    <w:rsid w:val="008F1BC5"/>
    <w:rsid w:val="00903B3F"/>
    <w:rsid w:val="00911DA2"/>
    <w:rsid w:val="0091519F"/>
    <w:rsid w:val="00917057"/>
    <w:rsid w:val="009249F5"/>
    <w:rsid w:val="00932222"/>
    <w:rsid w:val="0093543F"/>
    <w:rsid w:val="00937075"/>
    <w:rsid w:val="009540C8"/>
    <w:rsid w:val="00956850"/>
    <w:rsid w:val="00956EBD"/>
    <w:rsid w:val="00957509"/>
    <w:rsid w:val="00965508"/>
    <w:rsid w:val="00995048"/>
    <w:rsid w:val="00996815"/>
    <w:rsid w:val="009B2734"/>
    <w:rsid w:val="009D2731"/>
    <w:rsid w:val="009D52DA"/>
    <w:rsid w:val="009E4D4E"/>
    <w:rsid w:val="009F0E02"/>
    <w:rsid w:val="00A17D45"/>
    <w:rsid w:val="00A20070"/>
    <w:rsid w:val="00A32F57"/>
    <w:rsid w:val="00A408CB"/>
    <w:rsid w:val="00A57598"/>
    <w:rsid w:val="00A618DA"/>
    <w:rsid w:val="00A631B1"/>
    <w:rsid w:val="00A804A6"/>
    <w:rsid w:val="00A82039"/>
    <w:rsid w:val="00A959BA"/>
    <w:rsid w:val="00AA5275"/>
    <w:rsid w:val="00AB0BCA"/>
    <w:rsid w:val="00AB4ACC"/>
    <w:rsid w:val="00AC0ED1"/>
    <w:rsid w:val="00AE094A"/>
    <w:rsid w:val="00AE3F3E"/>
    <w:rsid w:val="00AE519E"/>
    <w:rsid w:val="00AF088B"/>
    <w:rsid w:val="00AF5EE4"/>
    <w:rsid w:val="00B006C4"/>
    <w:rsid w:val="00B0402C"/>
    <w:rsid w:val="00B04A00"/>
    <w:rsid w:val="00B24690"/>
    <w:rsid w:val="00B33727"/>
    <w:rsid w:val="00B40DA7"/>
    <w:rsid w:val="00B54695"/>
    <w:rsid w:val="00B922A1"/>
    <w:rsid w:val="00B97C43"/>
    <w:rsid w:val="00BA25C5"/>
    <w:rsid w:val="00BD035C"/>
    <w:rsid w:val="00BD2C39"/>
    <w:rsid w:val="00BD3992"/>
    <w:rsid w:val="00BD5156"/>
    <w:rsid w:val="00BE4233"/>
    <w:rsid w:val="00BF3171"/>
    <w:rsid w:val="00C11501"/>
    <w:rsid w:val="00C2085D"/>
    <w:rsid w:val="00C21652"/>
    <w:rsid w:val="00C270AB"/>
    <w:rsid w:val="00C3409C"/>
    <w:rsid w:val="00C34DD4"/>
    <w:rsid w:val="00C40CF9"/>
    <w:rsid w:val="00C4128B"/>
    <w:rsid w:val="00C55411"/>
    <w:rsid w:val="00C7251C"/>
    <w:rsid w:val="00C84E9B"/>
    <w:rsid w:val="00C87C38"/>
    <w:rsid w:val="00C94E67"/>
    <w:rsid w:val="00C9728F"/>
    <w:rsid w:val="00CD4933"/>
    <w:rsid w:val="00CD4A8D"/>
    <w:rsid w:val="00CD53D1"/>
    <w:rsid w:val="00CE7065"/>
    <w:rsid w:val="00D01586"/>
    <w:rsid w:val="00D0177D"/>
    <w:rsid w:val="00D05A74"/>
    <w:rsid w:val="00D06565"/>
    <w:rsid w:val="00D127DE"/>
    <w:rsid w:val="00D17705"/>
    <w:rsid w:val="00D263C5"/>
    <w:rsid w:val="00D26C35"/>
    <w:rsid w:val="00D27A8D"/>
    <w:rsid w:val="00D30453"/>
    <w:rsid w:val="00D428A1"/>
    <w:rsid w:val="00D51C9D"/>
    <w:rsid w:val="00D51EEC"/>
    <w:rsid w:val="00D53CED"/>
    <w:rsid w:val="00D843A4"/>
    <w:rsid w:val="00D94DD9"/>
    <w:rsid w:val="00D95FD6"/>
    <w:rsid w:val="00DA2488"/>
    <w:rsid w:val="00DA47BA"/>
    <w:rsid w:val="00DC05C8"/>
    <w:rsid w:val="00DC6E5C"/>
    <w:rsid w:val="00DD66B8"/>
    <w:rsid w:val="00DF1556"/>
    <w:rsid w:val="00DF78F6"/>
    <w:rsid w:val="00E070B5"/>
    <w:rsid w:val="00E11890"/>
    <w:rsid w:val="00E316E7"/>
    <w:rsid w:val="00E3432A"/>
    <w:rsid w:val="00E44108"/>
    <w:rsid w:val="00E50388"/>
    <w:rsid w:val="00E60A76"/>
    <w:rsid w:val="00E61796"/>
    <w:rsid w:val="00E66622"/>
    <w:rsid w:val="00E84128"/>
    <w:rsid w:val="00E8681C"/>
    <w:rsid w:val="00EA793E"/>
    <w:rsid w:val="00EC1391"/>
    <w:rsid w:val="00ED01C6"/>
    <w:rsid w:val="00ED0EE3"/>
    <w:rsid w:val="00EE0AAF"/>
    <w:rsid w:val="00EE151A"/>
    <w:rsid w:val="00EE240D"/>
    <w:rsid w:val="00EE253C"/>
    <w:rsid w:val="00EE56E2"/>
    <w:rsid w:val="00EF0C26"/>
    <w:rsid w:val="00EF386F"/>
    <w:rsid w:val="00F05C3D"/>
    <w:rsid w:val="00F12BF2"/>
    <w:rsid w:val="00F1452E"/>
    <w:rsid w:val="00F317B2"/>
    <w:rsid w:val="00F36560"/>
    <w:rsid w:val="00F5077C"/>
    <w:rsid w:val="00F54AC0"/>
    <w:rsid w:val="00F60B09"/>
    <w:rsid w:val="00F864DF"/>
    <w:rsid w:val="00F94369"/>
    <w:rsid w:val="00F9603B"/>
    <w:rsid w:val="00FA3A08"/>
    <w:rsid w:val="00FE310B"/>
    <w:rsid w:val="00FE34E7"/>
    <w:rsid w:val="361A5B84"/>
    <w:rsid w:val="4D59A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1F79B11"/>
  <w15:chartTrackingRefBased/>
  <w15:docId w15:val="{5B41C073-8FEF-4EB0-8C4B-33F7E44AD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5411"/>
  </w:style>
  <w:style w:type="paragraph" w:styleId="Heading1">
    <w:name w:val="heading 1"/>
    <w:basedOn w:val="Normal"/>
    <w:next w:val="Normal"/>
    <w:link w:val="Heading1Char"/>
    <w:uiPriority w:val="9"/>
    <w:qFormat/>
    <w:rsid w:val="000541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6D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34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41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56D2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556D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6D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6D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6D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6D2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D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D2B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FE34E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170709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rsid w:val="00170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678D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678D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04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1">
    <w:name w:val="s1"/>
    <w:basedOn w:val="DefaultParagraphFont"/>
    <w:rsid w:val="00222FFB"/>
    <w:rPr>
      <w:rFonts w:ascii="Arial" w:hAnsi="Arial" w:cs="Arial" w:hint="default"/>
    </w:rPr>
  </w:style>
  <w:style w:type="character" w:customStyle="1" w:styleId="nowrap1">
    <w:name w:val="nowrap1"/>
    <w:basedOn w:val="DefaultParagraphFont"/>
    <w:rsid w:val="00C11501"/>
  </w:style>
  <w:style w:type="character" w:customStyle="1" w:styleId="highlight">
    <w:name w:val="highlight"/>
    <w:basedOn w:val="DefaultParagraphFont"/>
    <w:rsid w:val="00BD3992"/>
    <w:rPr>
      <w:shd w:val="clear" w:color="auto" w:fill="A2F0F0"/>
    </w:rPr>
  </w:style>
  <w:style w:type="character" w:customStyle="1" w:styleId="bg1">
    <w:name w:val="bg1"/>
    <w:basedOn w:val="DefaultParagraphFont"/>
    <w:rsid w:val="00BD3992"/>
    <w:rPr>
      <w:b/>
      <w:bCs/>
      <w:color w:val="008000"/>
    </w:rPr>
  </w:style>
  <w:style w:type="paragraph" w:styleId="NoSpacing">
    <w:name w:val="No Spacing"/>
    <w:link w:val="NoSpacingChar"/>
    <w:uiPriority w:val="1"/>
    <w:qFormat/>
    <w:rsid w:val="005134D4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134D4"/>
    <w:rPr>
      <w:rFonts w:eastAsiaTheme="minorEastAsia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F487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F487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F4879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unhideWhenUsed/>
    <w:rsid w:val="004F48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879"/>
  </w:style>
  <w:style w:type="paragraph" w:styleId="Footer">
    <w:name w:val="footer"/>
    <w:basedOn w:val="Normal"/>
    <w:link w:val="FooterChar"/>
    <w:uiPriority w:val="99"/>
    <w:unhideWhenUsed/>
    <w:rsid w:val="004F48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879"/>
  </w:style>
  <w:style w:type="character" w:styleId="PlaceholderText">
    <w:name w:val="Placeholder Text"/>
    <w:basedOn w:val="DefaultParagraphFont"/>
    <w:uiPriority w:val="99"/>
    <w:semiHidden/>
    <w:rsid w:val="004F48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2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4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3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9462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3809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4791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4900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2411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2929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6995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0590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8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43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59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0" w:color="004985"/>
                            <w:right w:val="none" w:sz="0" w:space="0" w:color="auto"/>
                          </w:divBdr>
                          <w:divsChild>
                            <w:div w:id="628823213">
                              <w:marLeft w:val="-1"/>
                              <w:marRight w:val="-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89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56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2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9647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5844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0962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7713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145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5105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5302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2019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E449FE0E0414479D21C55743D48AF4" ma:contentTypeVersion="13" ma:contentTypeDescription="Create a new document." ma:contentTypeScope="" ma:versionID="eb899dbbfcbcfee23b8c80f8ebe53819">
  <xsd:schema xmlns:xsd="http://www.w3.org/2001/XMLSchema" xmlns:xs="http://www.w3.org/2001/XMLSchema" xmlns:p="http://schemas.microsoft.com/office/2006/metadata/properties" xmlns:ns3="35ff68c0-b27a-4a58-8bbd-b223a4b9c402" xmlns:ns4="dc63da68-799a-4e90-b383-0e77ac5bba71" targetNamespace="http://schemas.microsoft.com/office/2006/metadata/properties" ma:root="true" ma:fieldsID="9b58203a14fc45a3bbd56ad779cc1a0b" ns3:_="" ns4:_="">
    <xsd:import namespace="35ff68c0-b27a-4a58-8bbd-b223a4b9c402"/>
    <xsd:import namespace="dc63da68-799a-4e90-b383-0e77ac5bba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ff68c0-b27a-4a58-8bbd-b223a4b9c4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3da68-799a-4e90-b383-0e77ac5bba7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CCC9D32-0FF1-4680-8970-4147C62304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ff68c0-b27a-4a58-8bbd-b223a4b9c402"/>
    <ds:schemaRef ds:uri="dc63da68-799a-4e90-b383-0e77ac5bba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4B637F-C793-4DE0-AECA-0EB579C382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69ABF6-8F01-4270-819D-C75E842AFE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ACFBAEA8-98F6-0946-8550-5C4232084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Response to Pharmeuropa Issue 32.2 proposal for chapter 2.4.36 ‘N-Nitrosamines in Active Substances’</vt:lpstr>
    </vt:vector>
  </TitlesOfParts>
  <Company/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Response to Pharmeuropa Issue 32.2 proposal for chapter 2.4.36 ‘N-Nitrosamines in Active Substances’</dc:title>
  <dc:subject/>
  <dc:creator>James Mitchell, GSK</dc:creator>
  <cp:keywords/>
  <dc:description/>
  <cp:lastModifiedBy>Microsoft Office User</cp:lastModifiedBy>
  <cp:revision>5</cp:revision>
  <dcterms:created xsi:type="dcterms:W3CDTF">2020-06-30T07:12:00Z</dcterms:created>
  <dcterms:modified xsi:type="dcterms:W3CDTF">2020-06-30T07:46:00Z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0x0101003DE449FE0E0414479D21C55743D48AF4</vt:lpwstr>
  </property>
  <property fmtid="{D5CDD505-2E9C-101B-9397-08002B2CF9AE}" pid="3" name="AuthorIds_UIVersion_5632">
    <vt:lpwstr>174</vt:lpwstr>
  </property>
  <property fmtid="{D5CDD505-2E9C-101B-9397-08002B2CF9AE}" pid="4" name="AuthorIds_UIVersion_6144">
    <vt:lpwstr>174</vt:lpwstr>
  </property>
</Properties>
</file>