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6835E" w14:textId="5704FAFB" w:rsidR="00670CD1" w:rsidRDefault="00975CA0">
      <w:pPr>
        <w:pStyle w:val="RefAgency"/>
        <w:tabs>
          <w:tab w:val="left" w:pos="1277"/>
        </w:tabs>
      </w:pPr>
      <w:bookmarkStart w:id="0" w:name="_GoBack"/>
      <w:bookmarkEnd w:id="0"/>
      <w:r>
        <w:t xml:space="preserve">October </w:t>
      </w:r>
      <w:r w:rsidR="00D31279">
        <w:t>23, 2020</w:t>
      </w:r>
    </w:p>
    <w:p w14:paraId="4BCAA662" w14:textId="77777777" w:rsidR="00670CD1" w:rsidRDefault="00670CD1">
      <w:pPr>
        <w:pStyle w:val="RefAgency"/>
        <w:tabs>
          <w:tab w:val="left" w:pos="1277"/>
        </w:tabs>
      </w:pPr>
    </w:p>
    <w:p w14:paraId="385DD365" w14:textId="77777777" w:rsidR="00670CD1" w:rsidRPr="00B822FC" w:rsidRDefault="00670CD1">
      <w:pPr>
        <w:pStyle w:val="RefAgency"/>
        <w:tabs>
          <w:tab w:val="left" w:pos="1277"/>
        </w:tabs>
      </w:pPr>
    </w:p>
    <w:p w14:paraId="0283A2B6" w14:textId="77777777" w:rsidR="00E061E1" w:rsidRDefault="00670CD1" w:rsidP="00E061E1">
      <w:pPr>
        <w:pStyle w:val="DoctitleAgency"/>
      </w:pPr>
      <w:bookmarkStart w:id="1" w:name="Head"/>
      <w:bookmarkEnd w:id="1"/>
      <w:r w:rsidRPr="00F308FD">
        <w:t>Submission of comments on</w:t>
      </w:r>
      <w:r>
        <w:t xml:space="preserve"> '</w:t>
      </w:r>
      <w:r w:rsidR="00E061E1">
        <w:t>ICH guideline M7 on assessment and control of DNA reactive (mutagenic) impurities in pharmaceuticals to limit potential carcinogenic risk - questions &amp; answers, Step 2b</w:t>
      </w:r>
      <w:r>
        <w:t>'</w:t>
      </w:r>
    </w:p>
    <w:p w14:paraId="0F05CB81" w14:textId="77777777" w:rsidR="00670CD1" w:rsidRDefault="00670CD1" w:rsidP="00E061E1">
      <w:pPr>
        <w:pStyle w:val="DoctitleAgency"/>
      </w:pPr>
      <w:r>
        <w:t>(</w:t>
      </w:r>
      <w:r w:rsidR="00E061E1" w:rsidRPr="00E061E1">
        <w:rPr>
          <w:szCs w:val="17"/>
        </w:rPr>
        <w:t>EMA/CHMP/ICH/321999/2020</w:t>
      </w:r>
      <w:r>
        <w:t>)</w:t>
      </w:r>
    </w:p>
    <w:p w14:paraId="6C5CCDDC" w14:textId="77777777" w:rsidR="00670CD1" w:rsidRPr="00B822FC" w:rsidRDefault="00670CD1">
      <w:pPr>
        <w:pStyle w:val="No-TOCheadingAgency"/>
      </w:pPr>
      <w:r w:rsidRPr="00B822FC">
        <w:t>Comments from:</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ayout w:type="fixed"/>
        <w:tblLook w:val="01E0" w:firstRow="1" w:lastRow="1" w:firstColumn="1" w:lastColumn="1" w:noHBand="0" w:noVBand="0"/>
      </w:tblPr>
      <w:tblGrid>
        <w:gridCol w:w="9413"/>
      </w:tblGrid>
      <w:tr w:rsidR="00670CD1" w:rsidRPr="00FC77C1" w14:paraId="5421BFF7" w14:textId="77777777" w:rsidTr="0AAE705E">
        <w:trPr>
          <w:tblHeader/>
        </w:trPr>
        <w:tc>
          <w:tcPr>
            <w:tcW w:w="5000" w:type="pct"/>
            <w:tcBorders>
              <w:top w:val="nil"/>
              <w:left w:val="nil"/>
              <w:bottom w:val="nil"/>
              <w:right w:val="nil"/>
              <w:tl2br w:val="nil"/>
              <w:tr2bl w:val="nil"/>
            </w:tcBorders>
            <w:shd w:val="clear" w:color="auto" w:fill="003399"/>
          </w:tcPr>
          <w:p w14:paraId="3F525208" w14:textId="77777777" w:rsidR="00670CD1" w:rsidRPr="00FC77C1" w:rsidRDefault="00670CD1">
            <w:pPr>
              <w:pStyle w:val="TableheadingrowsAgency"/>
              <w:rPr>
                <w:b w:val="0"/>
              </w:rPr>
            </w:pPr>
            <w:r>
              <w:rPr>
                <w:b w:val="0"/>
              </w:rPr>
              <w:t>Name of o</w:t>
            </w:r>
            <w:r w:rsidRPr="00FC77C1">
              <w:rPr>
                <w:b w:val="0"/>
              </w:rPr>
              <w:t>rganisation or individual</w:t>
            </w:r>
          </w:p>
        </w:tc>
      </w:tr>
      <w:tr w:rsidR="00670CD1" w:rsidRPr="00B822FC" w14:paraId="5FD46D13" w14:textId="77777777" w:rsidTr="0AAE705E">
        <w:tc>
          <w:tcPr>
            <w:tcW w:w="5000" w:type="pct"/>
            <w:shd w:val="clear" w:color="auto" w:fill="E1E3F2"/>
          </w:tcPr>
          <w:p w14:paraId="2DCE5660" w14:textId="694DDCA7" w:rsidR="00670CD1" w:rsidRPr="00B822FC" w:rsidRDefault="00D31279">
            <w:pPr>
              <w:pStyle w:val="TabletextrowsAgency"/>
            </w:pPr>
            <w:r>
              <w:t>EFPIA</w:t>
            </w:r>
            <w:r w:rsidR="00D220CF">
              <w:t xml:space="preserve"> </w:t>
            </w:r>
          </w:p>
        </w:tc>
      </w:tr>
    </w:tbl>
    <w:p w14:paraId="15C69459" w14:textId="77777777" w:rsidR="00670CD1" w:rsidRDefault="00670CD1">
      <w:pPr>
        <w:pStyle w:val="BodytextAgency"/>
      </w:pPr>
    </w:p>
    <w:p w14:paraId="7424CD57" w14:textId="1FC2F4DF" w:rsidR="00670CD1" w:rsidRPr="00561BA0" w:rsidRDefault="00670CD1">
      <w:pPr>
        <w:pStyle w:val="BodytextAgency"/>
        <w:rPr>
          <w:i/>
        </w:rPr>
      </w:pPr>
      <w:r w:rsidRPr="00561BA0">
        <w:rPr>
          <w:i/>
        </w:rPr>
        <w:t>Please note that these comments and the identity of the sender will be published unless a specific justified objection is received.</w:t>
      </w:r>
      <w:r w:rsidR="00D220CF">
        <w:rPr>
          <w:i/>
        </w:rPr>
        <w:t xml:space="preserve"> </w:t>
      </w:r>
      <w:r>
        <w:rPr>
          <w:i/>
        </w:rPr>
        <w:t>When completed, this form should be sent</w:t>
      </w:r>
      <w:r w:rsidRPr="00561BA0">
        <w:rPr>
          <w:i/>
        </w:rPr>
        <w:t xml:space="preserve"> to the European Medicines Agency</w:t>
      </w:r>
      <w:r>
        <w:rPr>
          <w:i/>
        </w:rPr>
        <w:t xml:space="preserve"> electronically, in Word format (not PDF</w:t>
      </w:r>
      <w:r w:rsidRPr="00561BA0">
        <w:rPr>
          <w:i/>
        </w:rPr>
        <w:t>)</w:t>
      </w:r>
      <w:r>
        <w:rPr>
          <w:i/>
        </w:rPr>
        <w:t>.</w:t>
      </w:r>
    </w:p>
    <w:p w14:paraId="42E66849" w14:textId="77777777" w:rsidR="00670CD1" w:rsidRPr="00E43F9C" w:rsidRDefault="00670CD1">
      <w:pPr>
        <w:pStyle w:val="BodytextAgency"/>
      </w:pPr>
    </w:p>
    <w:p w14:paraId="1C3B7EBB" w14:textId="77777777" w:rsidR="00670CD1" w:rsidRPr="00B822FC" w:rsidRDefault="00670CD1">
      <w:pPr>
        <w:pStyle w:val="BodytextAgency"/>
      </w:pPr>
    </w:p>
    <w:p w14:paraId="317986FA" w14:textId="77777777" w:rsidR="00670CD1" w:rsidRPr="00B822FC" w:rsidRDefault="00670CD1">
      <w:pPr>
        <w:pStyle w:val="BodytextAgency"/>
        <w:sectPr w:rsidR="00670CD1" w:rsidRPr="00B822FC">
          <w:footerReference w:type="default" r:id="rId13"/>
          <w:headerReference w:type="first" r:id="rId14"/>
          <w:footerReference w:type="first" r:id="rId15"/>
          <w:pgSz w:w="11907" w:h="16839" w:code="9"/>
          <w:pgMar w:top="1418" w:right="1247" w:bottom="1418" w:left="1247" w:header="284" w:footer="680" w:gutter="0"/>
          <w:cols w:space="720"/>
          <w:titlePg/>
          <w:docGrid w:linePitch="326"/>
        </w:sectPr>
      </w:pPr>
    </w:p>
    <w:p w14:paraId="1E3C03C2" w14:textId="77777777" w:rsidR="00670CD1" w:rsidRPr="00B822FC" w:rsidRDefault="00670CD1">
      <w:pPr>
        <w:pStyle w:val="Heading1Agency"/>
      </w:pPr>
      <w:r w:rsidRPr="00B822FC">
        <w:lastRenderedPageBreak/>
        <w:t>General comments</w:t>
      </w:r>
    </w:p>
    <w:tbl>
      <w:tblPr>
        <w:tblW w:w="4962"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ayout w:type="fixed"/>
        <w:tblLook w:val="01E0" w:firstRow="1" w:lastRow="1" w:firstColumn="1" w:lastColumn="1" w:noHBand="0" w:noVBand="0"/>
      </w:tblPr>
      <w:tblGrid>
        <w:gridCol w:w="2551"/>
        <w:gridCol w:w="5387"/>
        <w:gridCol w:w="6521"/>
      </w:tblGrid>
      <w:tr w:rsidR="00670CD1" w:rsidRPr="00366785" w14:paraId="7B7DDB37" w14:textId="77777777" w:rsidTr="005D3C3F">
        <w:trPr>
          <w:tblHeader/>
        </w:trPr>
        <w:tc>
          <w:tcPr>
            <w:tcW w:w="882" w:type="pct"/>
            <w:tcBorders>
              <w:top w:val="nil"/>
              <w:left w:val="nil"/>
              <w:bottom w:val="nil"/>
              <w:right w:val="nil"/>
              <w:tl2br w:val="nil"/>
              <w:tr2bl w:val="nil"/>
            </w:tcBorders>
            <w:shd w:val="clear" w:color="auto" w:fill="003399"/>
          </w:tcPr>
          <w:p w14:paraId="7F68E245" w14:textId="77777777" w:rsidR="00670CD1" w:rsidRPr="00366785" w:rsidRDefault="00670CD1">
            <w:pPr>
              <w:pStyle w:val="TableheadingrowsAgency"/>
              <w:rPr>
                <w:b w:val="0"/>
                <w:bCs/>
              </w:rPr>
            </w:pPr>
            <w:r w:rsidRPr="00366785">
              <w:rPr>
                <w:b w:val="0"/>
                <w:bCs/>
              </w:rPr>
              <w:t>Stakeholder number</w:t>
            </w:r>
          </w:p>
          <w:p w14:paraId="75BD6521" w14:textId="77777777" w:rsidR="00670CD1" w:rsidRPr="00366785" w:rsidRDefault="00670CD1">
            <w:pPr>
              <w:pStyle w:val="TableheadingrowsAgency"/>
              <w:rPr>
                <w:b w:val="0"/>
                <w:bCs/>
                <w:i/>
                <w:color w:val="339966"/>
              </w:rPr>
            </w:pPr>
            <w:r w:rsidRPr="00366785">
              <w:rPr>
                <w:b w:val="0"/>
                <w:i/>
                <w:color w:val="339966"/>
              </w:rPr>
              <w:t>(To be completed by the Agency)</w:t>
            </w:r>
          </w:p>
        </w:tc>
        <w:tc>
          <w:tcPr>
            <w:tcW w:w="1863" w:type="pct"/>
            <w:tcBorders>
              <w:top w:val="nil"/>
              <w:left w:val="nil"/>
              <w:bottom w:val="nil"/>
              <w:right w:val="nil"/>
              <w:tl2br w:val="nil"/>
              <w:tr2bl w:val="nil"/>
            </w:tcBorders>
            <w:shd w:val="clear" w:color="auto" w:fill="003399"/>
          </w:tcPr>
          <w:p w14:paraId="7DDD8AC3" w14:textId="77777777" w:rsidR="00670CD1" w:rsidRPr="00366785" w:rsidRDefault="00670CD1">
            <w:pPr>
              <w:pStyle w:val="TableheadingrowsAgency"/>
              <w:rPr>
                <w:b w:val="0"/>
                <w:bCs/>
              </w:rPr>
            </w:pPr>
            <w:r w:rsidRPr="00366785">
              <w:rPr>
                <w:b w:val="0"/>
                <w:bCs/>
              </w:rPr>
              <w:t>General comment (if any)</w:t>
            </w:r>
          </w:p>
        </w:tc>
        <w:tc>
          <w:tcPr>
            <w:tcW w:w="2255" w:type="pct"/>
            <w:tcBorders>
              <w:top w:val="nil"/>
              <w:left w:val="nil"/>
              <w:bottom w:val="nil"/>
              <w:right w:val="nil"/>
              <w:tl2br w:val="nil"/>
              <w:tr2bl w:val="nil"/>
            </w:tcBorders>
            <w:shd w:val="clear" w:color="auto" w:fill="003399"/>
          </w:tcPr>
          <w:p w14:paraId="37214AB5" w14:textId="77777777" w:rsidR="00670CD1" w:rsidRPr="00366785" w:rsidRDefault="00670CD1">
            <w:pPr>
              <w:pStyle w:val="TableheadingrowsAgency"/>
              <w:rPr>
                <w:b w:val="0"/>
                <w:bCs/>
              </w:rPr>
            </w:pPr>
            <w:r w:rsidRPr="00366785">
              <w:rPr>
                <w:b w:val="0"/>
                <w:bCs/>
              </w:rPr>
              <w:t>Outcome (if applicable)</w:t>
            </w:r>
          </w:p>
          <w:p w14:paraId="133BE2F0" w14:textId="77777777" w:rsidR="00670CD1" w:rsidRPr="00366785" w:rsidRDefault="00670CD1">
            <w:pPr>
              <w:pStyle w:val="TableheadingrowsAgency"/>
              <w:rPr>
                <w:b w:val="0"/>
                <w:bCs/>
                <w:i/>
                <w:color w:val="339966"/>
              </w:rPr>
            </w:pPr>
            <w:r w:rsidRPr="00366785">
              <w:rPr>
                <w:b w:val="0"/>
                <w:i/>
                <w:color w:val="339966"/>
              </w:rPr>
              <w:t>(To be completed by the Agency)</w:t>
            </w:r>
          </w:p>
        </w:tc>
      </w:tr>
      <w:tr w:rsidR="00845289" w:rsidRPr="00A353AD" w14:paraId="1B6053DF" w14:textId="77777777" w:rsidTr="005D3C3F">
        <w:tc>
          <w:tcPr>
            <w:tcW w:w="882" w:type="pct"/>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auto"/>
          </w:tcPr>
          <w:p w14:paraId="55EE3FC3" w14:textId="313CDE68" w:rsidR="00845289" w:rsidRPr="00A353AD" w:rsidRDefault="005D3C3F" w:rsidP="00DE4C3B">
            <w:pPr>
              <w:pStyle w:val="BodytextAgency"/>
            </w:pPr>
            <w:r>
              <w:t>EFPIA</w:t>
            </w:r>
          </w:p>
        </w:tc>
        <w:tc>
          <w:tcPr>
            <w:tcW w:w="1863" w:type="pct"/>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auto"/>
          </w:tcPr>
          <w:p w14:paraId="021E0F9F" w14:textId="70782F2F" w:rsidR="00845289" w:rsidRDefault="00845289" w:rsidP="00DE4C3B">
            <w:pPr>
              <w:pStyle w:val="BodytextAgency"/>
            </w:pPr>
            <w:r>
              <w:t>The publication of the Q&amp;A document is to be welcomed.  However</w:t>
            </w:r>
            <w:r w:rsidR="00411705">
              <w:t>,</w:t>
            </w:r>
            <w:r>
              <w:t xml:space="preserve"> there are some topics that are not addressed in sufficient detail and a number of questions raised by the stakeholder community that have not been answered completely.  An update/revision process to the Q&amp;A document should be considered to accommodate additional questions and clarifications. In particular, updates to ICH M7 or Q&amp;A should occur based on emerging topics.</w:t>
            </w:r>
          </w:p>
          <w:p w14:paraId="7F82C623" w14:textId="2CB216B7" w:rsidR="00845289" w:rsidRDefault="00845289" w:rsidP="0081732D">
            <w:pPr>
              <w:pStyle w:val="BodytextAgency"/>
            </w:pPr>
            <w:r>
              <w:t>Although not captured in this version of the Q&amp;As, given the ongoing discussion around nitrosamines and the very restrictive measures proposed by some agencies it is considered important and urgent to bring this discussion back to ICH M7 (Q&amp;A). A</w:t>
            </w:r>
            <w:r w:rsidRPr="004055BD">
              <w:t>pplication of ICH M7 to nitrosamine impurities with respect to acceptable intakes, use of SAR to determine acceptable intake, use of LTL approach, use of Option 4 controls</w:t>
            </w:r>
            <w:r>
              <w:t xml:space="preserve"> are examples to be discussed and included.</w:t>
            </w:r>
          </w:p>
          <w:p w14:paraId="059DEB68" w14:textId="77777777" w:rsidR="00845289" w:rsidRDefault="00845289" w:rsidP="0081732D">
            <w:pPr>
              <w:pStyle w:val="BodytextAgency"/>
            </w:pPr>
            <w:r>
              <w:t xml:space="preserve">Therefore, currently proposed measures deviate on an important number of aspects from principles laid down in the ICH M7 guideline. Hence it is important to have a data driven discussion on warranted measures which </w:t>
            </w:r>
            <w:r>
              <w:lastRenderedPageBreak/>
              <w:t xml:space="preserve">also align with ICH M7 where all parties involved can be present. </w:t>
            </w:r>
          </w:p>
          <w:p w14:paraId="6CDBB8B0" w14:textId="7D814276" w:rsidR="00845289" w:rsidRDefault="00845289" w:rsidP="0081732D">
            <w:pPr>
              <w:pStyle w:val="BodytextAgency"/>
            </w:pPr>
            <w:r w:rsidRPr="001D328A">
              <w:t>The term ‘TTC’ (i.e., 1.5 microgram/day) is inconsistently used across the Q&amp;A and should be replaced with ‘acceptable limit (AL)’ or ‘acceptable intake (AI)’ to account for situations where a drug is not intended for lifetime (&gt;10 years) administration.</w:t>
            </w:r>
          </w:p>
          <w:p w14:paraId="62DFABFD" w14:textId="3E8656BB" w:rsidR="00845289" w:rsidRDefault="00845289" w:rsidP="0081732D">
            <w:pPr>
              <w:pStyle w:val="BodytextAgency"/>
            </w:pPr>
            <w:r w:rsidRPr="00813F33">
              <w:t xml:space="preserve">Reference 2:” </w:t>
            </w:r>
            <w:r w:rsidRPr="00411705">
              <w:t xml:space="preserve">Carcinogenicity Potency Database (CPDB). [Online]. Available from: </w:t>
            </w:r>
            <w:hyperlink r:id="rId16" w:history="1">
              <w:r w:rsidRPr="00411705">
                <w:t>URL:https://toxnet.nlm.nih.gov/cpdb/</w:t>
              </w:r>
            </w:hyperlink>
            <w:r w:rsidRPr="00411705">
              <w:t xml:space="preserve">” </w:t>
            </w:r>
            <w:r w:rsidRPr="00813F33">
              <w:t>has been retired and is no longer available,  please add</w:t>
            </w:r>
            <w:r w:rsidR="00815A76">
              <w:t xml:space="preserve"> either a curated database from LHASA</w:t>
            </w:r>
            <w:r w:rsidRPr="00813F33">
              <w:t xml:space="preserve"> </w:t>
            </w:r>
            <w:hyperlink r:id="rId17" w:history="1">
              <w:r w:rsidR="00815A76" w:rsidRPr="009B50DF">
                <w:rPr>
                  <w:rStyle w:val="Hyperlink"/>
                </w:rPr>
                <w:t>https://carcdb.lhasalimited.org/carcdb-frontend/</w:t>
              </w:r>
            </w:hyperlink>
          </w:p>
          <w:p w14:paraId="7FFCD474" w14:textId="762CAABB" w:rsidR="0060494E" w:rsidRPr="0060494E" w:rsidRDefault="00FE3803" w:rsidP="0060494E">
            <w:pPr>
              <w:rPr>
                <w:rFonts w:ascii="Calibri" w:hAnsi="Calibri" w:cs="Calibri"/>
                <w:color w:val="1F497D"/>
                <w:sz w:val="22"/>
                <w:szCs w:val="22"/>
                <w:lang w:eastAsia="en-US"/>
              </w:rPr>
            </w:pPr>
            <w:r>
              <w:t>o</w:t>
            </w:r>
            <w:r w:rsidR="00815A76">
              <w:t xml:space="preserve">r </w:t>
            </w:r>
            <w:hyperlink r:id="rId18" w:history="1">
              <w:r w:rsidR="0060494E">
                <w:rPr>
                  <w:rStyle w:val="Hyperlink"/>
                  <w:rFonts w:ascii="Calibri" w:hAnsi="Calibri" w:cs="Calibri"/>
                  <w:sz w:val="22"/>
                  <w:szCs w:val="22"/>
                  <w:lang w:eastAsia="en-US"/>
                </w:rPr>
                <w:t>https://files.toxplanet.com/cpdb/index.html</w:t>
              </w:r>
            </w:hyperlink>
          </w:p>
          <w:p w14:paraId="140E8FED" w14:textId="216F6D77" w:rsidR="00815A76" w:rsidRDefault="00815A76" w:rsidP="0081732D">
            <w:pPr>
              <w:pStyle w:val="BodytextAgency"/>
            </w:pPr>
          </w:p>
          <w:p w14:paraId="7A2BDA0E" w14:textId="77777777" w:rsidR="00815A76" w:rsidRPr="00813F33" w:rsidRDefault="00815A76" w:rsidP="0081732D">
            <w:pPr>
              <w:pStyle w:val="BodytextAgency"/>
            </w:pPr>
          </w:p>
          <w:p w14:paraId="4718C9D4" w14:textId="77777777" w:rsidR="00845289" w:rsidRDefault="00845289" w:rsidP="0081732D">
            <w:pPr>
              <w:pStyle w:val="BodytextAgency"/>
            </w:pPr>
          </w:p>
          <w:p w14:paraId="706218B3" w14:textId="77777777" w:rsidR="00845289" w:rsidRDefault="00845289" w:rsidP="00DE4C3B">
            <w:pPr>
              <w:pStyle w:val="BodytextAgency"/>
            </w:pPr>
          </w:p>
          <w:p w14:paraId="0A877295" w14:textId="564A0301" w:rsidR="00845289" w:rsidRPr="00A353AD" w:rsidRDefault="00845289" w:rsidP="00DE4C3B">
            <w:pPr>
              <w:pStyle w:val="BodytextAgency"/>
            </w:pPr>
          </w:p>
        </w:tc>
        <w:tc>
          <w:tcPr>
            <w:tcW w:w="2255" w:type="pct"/>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auto"/>
          </w:tcPr>
          <w:p w14:paraId="63930CD6" w14:textId="7E0B16E5" w:rsidR="00845289" w:rsidRPr="00A353AD" w:rsidRDefault="00845289" w:rsidP="00DE4C3B">
            <w:pPr>
              <w:pStyle w:val="BodytextAgency"/>
            </w:pPr>
          </w:p>
        </w:tc>
      </w:tr>
    </w:tbl>
    <w:p w14:paraId="31010B08" w14:textId="77777777" w:rsidR="00670CD1" w:rsidRDefault="00670CD1">
      <w:pPr>
        <w:pStyle w:val="BodytextAgency"/>
      </w:pPr>
    </w:p>
    <w:p w14:paraId="1010F8DE" w14:textId="77777777" w:rsidR="00670CD1" w:rsidRPr="00B822FC" w:rsidRDefault="00670CD1">
      <w:pPr>
        <w:pStyle w:val="Heading1Agency"/>
        <w:pageBreakBefore/>
      </w:pPr>
      <w:r w:rsidRPr="00B822FC">
        <w:lastRenderedPageBreak/>
        <w:t>Specific comments on text</w:t>
      </w:r>
    </w:p>
    <w:tbl>
      <w:tblPr>
        <w:tblW w:w="145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ayout w:type="fixed"/>
        <w:tblLook w:val="01E0" w:firstRow="1" w:lastRow="1" w:firstColumn="1" w:lastColumn="1" w:noHBand="0" w:noVBand="0"/>
      </w:tblPr>
      <w:tblGrid>
        <w:gridCol w:w="1877"/>
        <w:gridCol w:w="2070"/>
        <w:gridCol w:w="6143"/>
        <w:gridCol w:w="4483"/>
      </w:tblGrid>
      <w:tr w:rsidR="00670CD1" w:rsidRPr="00F30925" w14:paraId="73FD3431" w14:textId="77777777" w:rsidTr="496F04BF">
        <w:trPr>
          <w:tblHeader/>
        </w:trPr>
        <w:tc>
          <w:tcPr>
            <w:tcW w:w="1877" w:type="dxa"/>
            <w:tcBorders>
              <w:top w:val="nil"/>
              <w:left w:val="nil"/>
              <w:bottom w:val="nil"/>
              <w:right w:val="nil"/>
              <w:tl2br w:val="nil"/>
              <w:tr2bl w:val="nil"/>
            </w:tcBorders>
            <w:shd w:val="clear" w:color="auto" w:fill="003399"/>
          </w:tcPr>
          <w:p w14:paraId="762810A5" w14:textId="77777777" w:rsidR="00670CD1" w:rsidRDefault="00670CD1">
            <w:pPr>
              <w:pStyle w:val="TableheadingrowsAgency"/>
              <w:rPr>
                <w:b w:val="0"/>
              </w:rPr>
            </w:pPr>
            <w:r w:rsidRPr="00F30925">
              <w:rPr>
                <w:b w:val="0"/>
              </w:rPr>
              <w:t xml:space="preserve">Line </w:t>
            </w:r>
            <w:r>
              <w:rPr>
                <w:b w:val="0"/>
              </w:rPr>
              <w:t>number(s)</w:t>
            </w:r>
            <w:r w:rsidRPr="00F30925">
              <w:rPr>
                <w:b w:val="0"/>
              </w:rPr>
              <w:t xml:space="preserve"> of the </w:t>
            </w:r>
            <w:r>
              <w:rPr>
                <w:b w:val="0"/>
              </w:rPr>
              <w:t>relevant text</w:t>
            </w:r>
          </w:p>
          <w:p w14:paraId="7A138C63" w14:textId="77777777" w:rsidR="00670CD1" w:rsidRPr="00366785" w:rsidRDefault="00670CD1">
            <w:pPr>
              <w:pStyle w:val="TableheadingrowsAgency"/>
              <w:rPr>
                <w:b w:val="0"/>
                <w:i/>
                <w:color w:val="339966"/>
              </w:rPr>
            </w:pPr>
            <w:r w:rsidRPr="00366785">
              <w:rPr>
                <w:b w:val="0"/>
                <w:i/>
                <w:color w:val="339966"/>
              </w:rPr>
              <w:t>(e.g. Lines 20-23)</w:t>
            </w:r>
          </w:p>
        </w:tc>
        <w:tc>
          <w:tcPr>
            <w:tcW w:w="2070" w:type="dxa"/>
            <w:tcBorders>
              <w:top w:val="nil"/>
              <w:left w:val="nil"/>
              <w:bottom w:val="nil"/>
              <w:right w:val="nil"/>
              <w:tl2br w:val="nil"/>
              <w:tr2bl w:val="nil"/>
            </w:tcBorders>
            <w:shd w:val="clear" w:color="auto" w:fill="003399"/>
          </w:tcPr>
          <w:p w14:paraId="5AFDBB4F" w14:textId="77777777" w:rsidR="00670CD1" w:rsidRDefault="00670CD1">
            <w:pPr>
              <w:pStyle w:val="TableheadingrowsAgency"/>
              <w:rPr>
                <w:b w:val="0"/>
              </w:rPr>
            </w:pPr>
            <w:r>
              <w:rPr>
                <w:b w:val="0"/>
              </w:rPr>
              <w:t>Stakeholder number</w:t>
            </w:r>
          </w:p>
          <w:p w14:paraId="53079D97" w14:textId="77777777" w:rsidR="00670CD1" w:rsidRDefault="00670CD1">
            <w:pPr>
              <w:pStyle w:val="TableheadingrowsAgency"/>
              <w:rPr>
                <w:b w:val="0"/>
              </w:rPr>
            </w:pPr>
            <w:r w:rsidRPr="00366785">
              <w:rPr>
                <w:b w:val="0"/>
                <w:i/>
                <w:color w:val="339966"/>
              </w:rPr>
              <w:t>(To be completed by the Agency)</w:t>
            </w:r>
          </w:p>
        </w:tc>
        <w:tc>
          <w:tcPr>
            <w:tcW w:w="6143" w:type="dxa"/>
            <w:tcBorders>
              <w:top w:val="nil"/>
              <w:left w:val="nil"/>
              <w:bottom w:val="nil"/>
              <w:right w:val="nil"/>
              <w:tl2br w:val="nil"/>
              <w:tr2bl w:val="nil"/>
            </w:tcBorders>
            <w:shd w:val="clear" w:color="auto" w:fill="003399"/>
          </w:tcPr>
          <w:p w14:paraId="6635862A" w14:textId="77777777" w:rsidR="00670CD1" w:rsidRDefault="00670CD1">
            <w:pPr>
              <w:pStyle w:val="TableheadingrowsAgency"/>
              <w:rPr>
                <w:b w:val="0"/>
              </w:rPr>
            </w:pPr>
            <w:r>
              <w:rPr>
                <w:b w:val="0"/>
              </w:rPr>
              <w:t>Comment and r</w:t>
            </w:r>
            <w:r w:rsidRPr="00F30925">
              <w:rPr>
                <w:b w:val="0"/>
              </w:rPr>
              <w:t>ationale; proposed changes</w:t>
            </w:r>
          </w:p>
          <w:p w14:paraId="2E68F112" w14:textId="77777777" w:rsidR="00670CD1" w:rsidRPr="00366785" w:rsidRDefault="00670CD1">
            <w:pPr>
              <w:pStyle w:val="TableheadingrowsAgency"/>
              <w:rPr>
                <w:b w:val="0"/>
                <w:i/>
                <w:color w:val="339966"/>
              </w:rPr>
            </w:pPr>
            <w:r w:rsidRPr="00366785">
              <w:rPr>
                <w:b w:val="0"/>
                <w:i/>
                <w:color w:val="339966"/>
              </w:rPr>
              <w:t>(If changes to the wording are suggested, they should be highlighted using 'track changes')</w:t>
            </w:r>
          </w:p>
        </w:tc>
        <w:tc>
          <w:tcPr>
            <w:tcW w:w="4483" w:type="dxa"/>
            <w:tcBorders>
              <w:top w:val="nil"/>
              <w:left w:val="nil"/>
              <w:bottom w:val="nil"/>
              <w:right w:val="nil"/>
              <w:tl2br w:val="nil"/>
              <w:tr2bl w:val="nil"/>
            </w:tcBorders>
            <w:shd w:val="clear" w:color="auto" w:fill="003399"/>
          </w:tcPr>
          <w:p w14:paraId="0AF50407" w14:textId="77777777" w:rsidR="00670CD1" w:rsidRDefault="00670CD1">
            <w:pPr>
              <w:pStyle w:val="TableheadingrowsAgency"/>
              <w:rPr>
                <w:b w:val="0"/>
              </w:rPr>
            </w:pPr>
            <w:r w:rsidRPr="00F30925">
              <w:rPr>
                <w:b w:val="0"/>
              </w:rPr>
              <w:t>Outcome</w:t>
            </w:r>
          </w:p>
          <w:p w14:paraId="74A834C4" w14:textId="77777777" w:rsidR="00670CD1" w:rsidRPr="00F30925" w:rsidRDefault="00670CD1">
            <w:pPr>
              <w:pStyle w:val="TableheadingrowsAgency"/>
              <w:rPr>
                <w:b w:val="0"/>
              </w:rPr>
            </w:pPr>
            <w:r w:rsidRPr="00366785">
              <w:rPr>
                <w:b w:val="0"/>
                <w:i/>
                <w:color w:val="339966"/>
              </w:rPr>
              <w:t>(To be completed by the Agency)</w:t>
            </w:r>
          </w:p>
        </w:tc>
      </w:tr>
      <w:tr w:rsidR="00A66000" w14:paraId="4A50BAF8" w14:textId="77777777" w:rsidTr="496F04BF">
        <w:tc>
          <w:tcPr>
            <w:tcW w:w="187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auto"/>
          </w:tcPr>
          <w:p w14:paraId="0EFB62CC" w14:textId="47C17EC3" w:rsidR="00A66000" w:rsidRPr="005823EF" w:rsidRDefault="005823EF">
            <w:pPr>
              <w:pStyle w:val="TabletextrowsAgency"/>
              <w:rPr>
                <w:color w:val="538135" w:themeColor="accent6" w:themeShade="BF"/>
              </w:rPr>
            </w:pPr>
            <w:r w:rsidRPr="005823EF">
              <w:rPr>
                <w:color w:val="538135" w:themeColor="accent6" w:themeShade="BF"/>
              </w:rPr>
              <w:t>Q1.1</w:t>
            </w:r>
          </w:p>
        </w:tc>
        <w:tc>
          <w:tcPr>
            <w:tcW w:w="207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auto"/>
          </w:tcPr>
          <w:p w14:paraId="5D09E607" w14:textId="1261112A" w:rsidR="00A66000" w:rsidRPr="005823EF" w:rsidRDefault="00A66000">
            <w:pPr>
              <w:pStyle w:val="TabletextrowsAgency"/>
              <w:rPr>
                <w:color w:val="538135" w:themeColor="accent6" w:themeShade="BF"/>
              </w:rPr>
            </w:pPr>
            <w:r w:rsidRPr="005823EF">
              <w:rPr>
                <w:color w:val="538135" w:themeColor="accent6" w:themeShade="BF"/>
              </w:rPr>
              <w:t xml:space="preserve">EFPIA </w:t>
            </w:r>
          </w:p>
        </w:tc>
        <w:tc>
          <w:tcPr>
            <w:tcW w:w="614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auto"/>
          </w:tcPr>
          <w:p w14:paraId="71D9B7B0" w14:textId="520B6EB5" w:rsidR="00364609" w:rsidRDefault="3941EDFB">
            <w:pPr>
              <w:pStyle w:val="TabletextrowsAgency"/>
            </w:pPr>
            <w:r>
              <w:t>Proposed change:</w:t>
            </w:r>
          </w:p>
          <w:p w14:paraId="557D6C9F" w14:textId="77777777" w:rsidR="00364609" w:rsidRDefault="3941EDFB">
            <w:pPr>
              <w:pStyle w:val="TabletextrowsAgency"/>
            </w:pPr>
            <w:r>
              <w:t xml:space="preserve">Genotoxicity is an umbrella term which refers to the potential of a chemical to either directly or indirectly damage the genetic material of the cell. There are three main mechanisms of genotoxicity – mutagenicity, </w:t>
            </w:r>
            <w:proofErr w:type="spellStart"/>
            <w:r>
              <w:t>clastogenicity</w:t>
            </w:r>
            <w:proofErr w:type="spellEnd"/>
            <w:r>
              <w:t xml:space="preserve"> and </w:t>
            </w:r>
            <w:proofErr w:type="spellStart"/>
            <w:r>
              <w:t>aneugenicity</w:t>
            </w:r>
            <w:proofErr w:type="spellEnd"/>
            <w:r>
              <w:t xml:space="preserve">.  Mutagenic potential refers to the ability of a compound to induce point mutations (i.e., bacterial reverse mutation assay), while genotoxic potential refers to mutagenic, clastogenic (chemically induced damage or breakage of chromosomes) and </w:t>
            </w:r>
            <w:proofErr w:type="spellStart"/>
            <w:r>
              <w:t>aneugenic</w:t>
            </w:r>
            <w:proofErr w:type="spellEnd"/>
            <w:r>
              <w:t xml:space="preserve"> (chemically induced alteration in chromosome number) potential. ICH M7 focuses specifically on mutagenicity.</w:t>
            </w:r>
          </w:p>
          <w:p w14:paraId="0DE7818C" w14:textId="2B1D97C9" w:rsidR="00364609" w:rsidRDefault="00364609">
            <w:pPr>
              <w:pStyle w:val="TabletextrowsAgency"/>
              <w:rPr>
                <w:color w:val="538135" w:themeColor="accent6" w:themeShade="BF"/>
              </w:rPr>
            </w:pPr>
          </w:p>
          <w:p w14:paraId="5FCA840A" w14:textId="478D2C41" w:rsidR="00364609" w:rsidRPr="005823EF" w:rsidRDefault="00364609">
            <w:pPr>
              <w:pStyle w:val="TabletextrowsAgency"/>
              <w:rPr>
                <w:color w:val="538135" w:themeColor="accent6" w:themeShade="BF"/>
              </w:rPr>
            </w:pPr>
          </w:p>
        </w:tc>
        <w:tc>
          <w:tcPr>
            <w:tcW w:w="448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auto"/>
          </w:tcPr>
          <w:p w14:paraId="0C531B16" w14:textId="77777777" w:rsidR="00A66000" w:rsidRDefault="00A66000">
            <w:pPr>
              <w:pStyle w:val="TabletextrowsAgency"/>
              <w:rPr>
                <w:color w:val="538135" w:themeColor="accent6" w:themeShade="BF"/>
              </w:rPr>
            </w:pPr>
          </w:p>
          <w:p w14:paraId="77386A3E" w14:textId="6B42DC67" w:rsidR="00364609" w:rsidRPr="005823EF" w:rsidRDefault="00364609" w:rsidP="002F0435">
            <w:pPr>
              <w:pStyle w:val="TabletextrowsAgency"/>
              <w:rPr>
                <w:color w:val="538135" w:themeColor="accent6" w:themeShade="BF"/>
              </w:rPr>
            </w:pPr>
          </w:p>
        </w:tc>
      </w:tr>
      <w:tr w:rsidR="00FE7043" w:rsidRPr="00C70781" w14:paraId="3BCE7573" w14:textId="77777777" w:rsidTr="496F04BF">
        <w:tc>
          <w:tcPr>
            <w:tcW w:w="187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151CE483" w14:textId="0E7D252B" w:rsidR="00FE7043" w:rsidRPr="002B5BC4" w:rsidRDefault="008B73D0" w:rsidP="00BA7C0E">
            <w:pPr>
              <w:pStyle w:val="TabletextrowsAgency"/>
            </w:pPr>
            <w:bookmarkStart w:id="2" w:name="_Hlk50032427"/>
            <w:bookmarkStart w:id="3" w:name="_Hlk50032658"/>
            <w:r w:rsidRPr="002B5BC4">
              <w:t>Q1.2</w:t>
            </w:r>
          </w:p>
        </w:tc>
        <w:tc>
          <w:tcPr>
            <w:tcW w:w="207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10773C7A" w14:textId="107F2D90" w:rsidR="00FE7043" w:rsidRPr="002B5BC4" w:rsidRDefault="00FA28B6" w:rsidP="00BA7C0E">
            <w:pPr>
              <w:pStyle w:val="TabletextrowsAgency"/>
            </w:pPr>
            <w:r w:rsidRPr="002B5BC4">
              <w:t>EFPIA</w:t>
            </w:r>
          </w:p>
        </w:tc>
        <w:tc>
          <w:tcPr>
            <w:tcW w:w="614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77445647" w14:textId="14BD52A5" w:rsidR="00D44989" w:rsidRPr="002B5BC4" w:rsidRDefault="00D44989" w:rsidP="00D44989">
            <w:pPr>
              <w:pStyle w:val="TabletextrowsAgency"/>
            </w:pPr>
            <w:r w:rsidRPr="002B5BC4">
              <w:t xml:space="preserve">In the context of ICH M7, (Quantitative) Structure-Activity Relationships ((Q)SAR) is considered an appropriate initial evaluation of mutagenic potential of an impurity at </w:t>
            </w:r>
            <w:r w:rsidRPr="002B5BC4">
              <w:rPr>
                <w:rFonts w:hint="eastAsia"/>
              </w:rPr>
              <w:t>a daily dose of ≤ 1 mg. When a structural alert is identified, a follow-up in vitro</w:t>
            </w:r>
            <w:r w:rsidRPr="002B5BC4">
              <w:t xml:space="preserve"> evaluation (e.g., bacterial reverse mutation assay) could be conducted, or the impurity could be controlled by Threshold of Toxicological Concern (TTC). Negative results in either the (Q)SAR evaluation or the in vitro evaluation would classify the impurity under Class 5. The result of the bacterial reverse mutation assay overrules the (Q)SAR prediction. The presence of a “structural alert” using (Q)SAR prediction may be overruled by expert review (and not by visual inspection alone) and thus an </w:t>
            </w:r>
            <w:r w:rsidRPr="002B5BC4">
              <w:lastRenderedPageBreak/>
              <w:t xml:space="preserve">impurity that carries a structural alert may nevertheless eventually be assigned Class 5 when expert review clearly negates the relevance of the respective alert.   </w:t>
            </w:r>
          </w:p>
          <w:p w14:paraId="13AED1AA" w14:textId="77777777" w:rsidR="00D44989" w:rsidRPr="002B5BC4" w:rsidRDefault="00D44989" w:rsidP="00D44989">
            <w:pPr>
              <w:pStyle w:val="TabletextrowsAgency"/>
            </w:pPr>
          </w:p>
          <w:p w14:paraId="34AE2194" w14:textId="77777777" w:rsidR="00D44989" w:rsidRPr="002B5BC4" w:rsidRDefault="00D44989" w:rsidP="00D44989">
            <w:pPr>
              <w:pStyle w:val="TabletextrowsAgency"/>
            </w:pPr>
            <w:r w:rsidRPr="002B5BC4">
              <w:t>With respect to non-mutagenic impurities the ICH Q3A &amp; B reporting, identification and qualification limits continue to apply for drug substance and drug product in a phase dependent manner as defined in ICH M3.</w:t>
            </w:r>
          </w:p>
          <w:p w14:paraId="6CB86E78" w14:textId="77777777" w:rsidR="00D44989" w:rsidRPr="002B5BC4" w:rsidRDefault="00D44989" w:rsidP="00BA7C0E">
            <w:pPr>
              <w:pStyle w:val="TabletextrowsAgency"/>
            </w:pPr>
          </w:p>
          <w:p w14:paraId="4957C15A" w14:textId="7476D07F" w:rsidR="00FA28B6" w:rsidRPr="002B5BC4" w:rsidRDefault="00FA28B6" w:rsidP="00BA7C0E">
            <w:pPr>
              <w:pStyle w:val="TabletextrowsAgency"/>
            </w:pPr>
          </w:p>
        </w:tc>
        <w:tc>
          <w:tcPr>
            <w:tcW w:w="448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2BC33F7B" w14:textId="77777777" w:rsidR="00FE7043" w:rsidRDefault="00FE7043" w:rsidP="00BA7C0E">
            <w:pPr>
              <w:pStyle w:val="TabletextrowsAgency"/>
              <w:rPr>
                <w:color w:val="538135" w:themeColor="accent6" w:themeShade="BF"/>
              </w:rPr>
            </w:pPr>
          </w:p>
          <w:p w14:paraId="24B76D60" w14:textId="5B5D02D0" w:rsidR="00FA28B6" w:rsidRPr="00C70781" w:rsidRDefault="00FA28B6" w:rsidP="3876BC04">
            <w:pPr>
              <w:pStyle w:val="TabletextrowsAgency"/>
              <w:rPr>
                <w:color w:val="538135" w:themeColor="accent6" w:themeShade="BF"/>
              </w:rPr>
            </w:pPr>
          </w:p>
          <w:p w14:paraId="46A179E7" w14:textId="484C2E1C" w:rsidR="00FA28B6" w:rsidRPr="00C70781" w:rsidRDefault="00FA28B6" w:rsidP="00BA7C0E">
            <w:pPr>
              <w:pStyle w:val="TabletextrowsAgency"/>
              <w:rPr>
                <w:color w:val="538135" w:themeColor="accent6" w:themeShade="BF"/>
              </w:rPr>
            </w:pPr>
          </w:p>
        </w:tc>
      </w:tr>
      <w:bookmarkEnd w:id="2"/>
      <w:bookmarkEnd w:id="3"/>
      <w:tr w:rsidR="005C7AE0" w:rsidRPr="005C7AE0" w14:paraId="745A7ED0" w14:textId="77777777" w:rsidTr="496F04BF">
        <w:tc>
          <w:tcPr>
            <w:tcW w:w="187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452E9C24" w14:textId="2999A8B2" w:rsidR="005C7AE0" w:rsidRPr="005B5A04" w:rsidRDefault="005C7AE0" w:rsidP="00486504">
            <w:pPr>
              <w:pStyle w:val="TabletextrowsAgency"/>
            </w:pPr>
            <w:r w:rsidRPr="005B5A04">
              <w:t>Q1.3</w:t>
            </w:r>
            <w:r w:rsidRPr="005B5A04">
              <w:br/>
            </w:r>
          </w:p>
        </w:tc>
        <w:tc>
          <w:tcPr>
            <w:tcW w:w="207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2828F735" w14:textId="77777777" w:rsidR="005C7AE0" w:rsidRPr="005B5A04" w:rsidRDefault="005C7AE0" w:rsidP="00486504">
            <w:pPr>
              <w:pStyle w:val="TabletextrowsAgency"/>
            </w:pPr>
            <w:r w:rsidRPr="005B5A04">
              <w:t>EFPIA</w:t>
            </w:r>
          </w:p>
        </w:tc>
        <w:tc>
          <w:tcPr>
            <w:tcW w:w="614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14D55475" w14:textId="30462432" w:rsidR="005C7AE0" w:rsidRPr="00914B59" w:rsidRDefault="3C6D02B3" w:rsidP="0EFE065A">
            <w:pPr>
              <w:pStyle w:val="TabletextrowsAgency"/>
            </w:pPr>
            <w:r w:rsidRPr="00914B59">
              <w:t>Reword: No. If an impurity</w:t>
            </w:r>
            <w:r w:rsidR="0BF655CB" w:rsidRPr="00914B59">
              <w:t xml:space="preserve"> is predicted to be negative </w:t>
            </w:r>
            <w:r w:rsidRPr="00914B59">
              <w:t>in two appropriate (Q)SAR systems and is present at a level ≤1 mg/day, further genetic toxicity testing is not warranted.</w:t>
            </w:r>
          </w:p>
          <w:p w14:paraId="5715CB71" w14:textId="77777777" w:rsidR="005C7AE0" w:rsidRPr="00914B59" w:rsidRDefault="005C7AE0" w:rsidP="00486504">
            <w:pPr>
              <w:pStyle w:val="TabletextrowsAgency"/>
            </w:pPr>
          </w:p>
        </w:tc>
        <w:tc>
          <w:tcPr>
            <w:tcW w:w="448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4FFEE138" w14:textId="77777777" w:rsidR="005C7AE0" w:rsidRPr="005C7AE0" w:rsidRDefault="005C7AE0" w:rsidP="00486504">
            <w:pPr>
              <w:pStyle w:val="TabletextrowsAgency"/>
              <w:rPr>
                <w:color w:val="538135"/>
              </w:rPr>
            </w:pPr>
          </w:p>
          <w:p w14:paraId="001302AE" w14:textId="77777777" w:rsidR="005C7AE0" w:rsidRPr="005C7AE0" w:rsidRDefault="005C7AE0" w:rsidP="00486504">
            <w:pPr>
              <w:pStyle w:val="TabletextrowsAgency"/>
              <w:rPr>
                <w:color w:val="538135"/>
              </w:rPr>
            </w:pPr>
          </w:p>
        </w:tc>
      </w:tr>
      <w:tr w:rsidR="006137E5" w:rsidRPr="00B822FC" w14:paraId="779B1CAC" w14:textId="77777777" w:rsidTr="496F04BF">
        <w:tc>
          <w:tcPr>
            <w:tcW w:w="187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63D4B01F" w14:textId="3903D6C7" w:rsidR="006137E5" w:rsidRPr="005B5A04" w:rsidRDefault="006137E5" w:rsidP="006137E5">
            <w:pPr>
              <w:pStyle w:val="TabletextrowsAgency"/>
            </w:pPr>
            <w:r w:rsidRPr="005B5A04">
              <w:t>Q1.</w:t>
            </w:r>
            <w:r w:rsidR="00DE55E5" w:rsidRPr="005B5A04">
              <w:t>4</w:t>
            </w:r>
          </w:p>
        </w:tc>
        <w:tc>
          <w:tcPr>
            <w:tcW w:w="207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7175771E" w14:textId="0099FF89" w:rsidR="006137E5" w:rsidRPr="005B5A04" w:rsidRDefault="006137E5" w:rsidP="006137E5">
            <w:pPr>
              <w:pStyle w:val="TabletextrowsAgency"/>
            </w:pPr>
            <w:r w:rsidRPr="005B5A04">
              <w:t>EFPIA</w:t>
            </w:r>
          </w:p>
        </w:tc>
        <w:tc>
          <w:tcPr>
            <w:tcW w:w="614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46E5CB10" w14:textId="71F7EA1E" w:rsidR="00567C3F" w:rsidRPr="009F6E74" w:rsidRDefault="00564B7A" w:rsidP="002803AA">
            <w:pPr>
              <w:pStyle w:val="TabletextrowsAgency"/>
            </w:pPr>
            <w:r w:rsidRPr="009F6E74">
              <w:t>The o</w:t>
            </w:r>
            <w:r w:rsidR="00B0407E" w:rsidRPr="009F6E74">
              <w:t xml:space="preserve">riginal answer “In cases where the amount of impurity is &gt;1 mg daily dose for chronic administration, regardless of the impurity classification, a minimum screen of genotoxicity studies (point mutation and chromosomal aberration) can be considered.” </w:t>
            </w:r>
            <w:r w:rsidR="00A22B5C" w:rsidRPr="009F6E74">
              <w:t xml:space="preserve">Could be misinterpreted </w:t>
            </w:r>
            <w:r w:rsidR="00567C3F" w:rsidRPr="009F6E74">
              <w:t>as</w:t>
            </w:r>
            <w:r w:rsidR="006F2152" w:rsidRPr="009F6E74">
              <w:t xml:space="preserve"> stated</w:t>
            </w:r>
            <w:r w:rsidR="00567C3F" w:rsidRPr="009F6E74">
              <w:t xml:space="preserve"> it contradicts the 0.05% ID limit for drugs &gt; 2g in ICH Q3A</w:t>
            </w:r>
            <w:r w:rsidR="00EF6996" w:rsidRPr="009F6E74">
              <w:t>.</w:t>
            </w:r>
          </w:p>
          <w:p w14:paraId="261CE341" w14:textId="77777777" w:rsidR="00201819" w:rsidRPr="009F6E74" w:rsidRDefault="00201819" w:rsidP="002803AA">
            <w:pPr>
              <w:pStyle w:val="TabletextrowsAgency"/>
            </w:pPr>
          </w:p>
          <w:p w14:paraId="516179B0" w14:textId="378BE775" w:rsidR="006137E5" w:rsidRPr="009F6E74" w:rsidRDefault="00201819" w:rsidP="00201819">
            <w:r w:rsidRPr="009F6E74">
              <w:rPr>
                <w:rFonts w:asciiTheme="minorHAnsi" w:hAnsiTheme="minorHAnsi" w:cstheme="minorBidi"/>
                <w:sz w:val="22"/>
                <w:szCs w:val="22"/>
                <w:lang w:eastAsia="en-GB"/>
              </w:rPr>
              <w:t>In cases where the amount of impurity identified under ICH Q3A</w:t>
            </w:r>
            <w:r w:rsidRPr="009F6E74">
              <w:rPr>
                <w:lang w:eastAsia="en-GB"/>
              </w:rPr>
              <w:t xml:space="preserve"> &amp; </w:t>
            </w:r>
            <w:r w:rsidRPr="009F6E74">
              <w:rPr>
                <w:rFonts w:asciiTheme="minorHAnsi" w:hAnsiTheme="minorHAnsi" w:cstheme="minorBidi"/>
                <w:sz w:val="22"/>
                <w:szCs w:val="22"/>
                <w:lang w:eastAsia="en-GB"/>
              </w:rPr>
              <w:t>B is &gt;1 mg daily dose for chronic administration (&gt; 6 months as defined by ICH E1), regardless of the impurity classification, a minimum screen of genotoxicity studies (point mutation and chromosomal aberration) can be considered.</w:t>
            </w:r>
            <w:r w:rsidRPr="009F6E74">
              <w:t xml:space="preserve"> </w:t>
            </w:r>
            <w:r w:rsidRPr="009F6E74">
              <w:rPr>
                <w:rFonts w:asciiTheme="minorHAnsi" w:hAnsiTheme="minorHAnsi" w:cstheme="minorBidi"/>
                <w:sz w:val="22"/>
                <w:szCs w:val="22"/>
                <w:lang w:eastAsia="en-GB"/>
              </w:rPr>
              <w:t xml:space="preserve">Note that ICH Q3A &amp; B </w:t>
            </w:r>
            <w:r w:rsidR="00B36CD3" w:rsidRPr="009F6E74">
              <w:rPr>
                <w:rFonts w:asciiTheme="minorHAnsi" w:hAnsiTheme="minorHAnsi" w:cstheme="minorBidi"/>
                <w:sz w:val="22"/>
                <w:szCs w:val="22"/>
                <w:lang w:eastAsia="en-GB"/>
              </w:rPr>
              <w:t xml:space="preserve">impurity </w:t>
            </w:r>
            <w:r w:rsidRPr="009F6E74">
              <w:rPr>
                <w:rFonts w:asciiTheme="minorHAnsi" w:hAnsiTheme="minorHAnsi" w:cstheme="minorBidi"/>
                <w:sz w:val="22"/>
                <w:szCs w:val="22"/>
                <w:lang w:eastAsia="en-GB"/>
              </w:rPr>
              <w:t xml:space="preserve">identification limits for drugs &gt; 2 g daily dose </w:t>
            </w:r>
            <w:r w:rsidR="00F231FF" w:rsidRPr="009F6E74">
              <w:rPr>
                <w:rFonts w:asciiTheme="minorHAnsi" w:hAnsiTheme="minorHAnsi" w:cstheme="minorBidi"/>
                <w:sz w:val="22"/>
                <w:szCs w:val="22"/>
                <w:lang w:eastAsia="en-GB"/>
              </w:rPr>
              <w:t xml:space="preserve">should </w:t>
            </w:r>
            <w:r w:rsidRPr="009F6E74">
              <w:rPr>
                <w:rFonts w:asciiTheme="minorHAnsi" w:hAnsiTheme="minorHAnsi" w:cstheme="minorBidi"/>
                <w:sz w:val="22"/>
                <w:szCs w:val="22"/>
                <w:lang w:eastAsia="en-GB"/>
              </w:rPr>
              <w:lastRenderedPageBreak/>
              <w:t xml:space="preserve">be applied, unless there a chemistry rationale for lowering the identification threshold related to the presence of a potential mutagenic impurity (i.e. as </w:t>
            </w:r>
            <w:r w:rsidR="00DF5B8B" w:rsidRPr="009F6E74">
              <w:rPr>
                <w:rFonts w:asciiTheme="minorHAnsi" w:hAnsiTheme="minorHAnsi" w:cstheme="minorBidi"/>
                <w:sz w:val="22"/>
                <w:szCs w:val="22"/>
                <w:lang w:eastAsia="en-GB"/>
              </w:rPr>
              <w:t xml:space="preserve">stated in </w:t>
            </w:r>
            <w:r w:rsidRPr="009F6E74">
              <w:rPr>
                <w:rFonts w:asciiTheme="minorHAnsi" w:hAnsiTheme="minorHAnsi" w:cstheme="minorBidi"/>
                <w:sz w:val="22"/>
                <w:szCs w:val="22"/>
                <w:lang w:eastAsia="en-GB"/>
              </w:rPr>
              <w:t xml:space="preserve">ICH Q3A &amp; B - lower thresholds can be appropriate if the impurity is unusually toxic). </w:t>
            </w:r>
          </w:p>
          <w:p w14:paraId="42679C48" w14:textId="77777777" w:rsidR="006137E5" w:rsidRPr="009F6E74" w:rsidRDefault="006137E5" w:rsidP="006137E5">
            <w:pPr>
              <w:rPr>
                <w:rFonts w:ascii="Calibri" w:hAnsi="Calibri" w:cs="Calibri"/>
                <w:sz w:val="22"/>
                <w:szCs w:val="22"/>
              </w:rPr>
            </w:pPr>
          </w:p>
        </w:tc>
        <w:tc>
          <w:tcPr>
            <w:tcW w:w="448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6D5D0E42" w14:textId="77777777" w:rsidR="006137E5" w:rsidRDefault="006137E5" w:rsidP="006137E5">
            <w:pPr>
              <w:pStyle w:val="TabletextrowsAgency"/>
              <w:rPr>
                <w:color w:val="538135" w:themeColor="accent6" w:themeShade="BF"/>
              </w:rPr>
            </w:pPr>
          </w:p>
          <w:p w14:paraId="1BE33CAB" w14:textId="77777777" w:rsidR="006137E5" w:rsidRPr="00561BA0" w:rsidRDefault="006137E5" w:rsidP="006137E5">
            <w:pPr>
              <w:pStyle w:val="TabletextrowsAgency"/>
            </w:pPr>
          </w:p>
        </w:tc>
      </w:tr>
      <w:tr w:rsidR="00993DD2" w:rsidRPr="00B822FC" w14:paraId="2309052D" w14:textId="77777777" w:rsidTr="496F04BF">
        <w:tc>
          <w:tcPr>
            <w:tcW w:w="187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3DDFEADE" w14:textId="7F2A3F9E" w:rsidR="00993DD2" w:rsidRPr="005B5A04" w:rsidRDefault="00993DD2" w:rsidP="00993DD2">
            <w:pPr>
              <w:pStyle w:val="TabletextrowsAgency"/>
            </w:pPr>
            <w:r w:rsidRPr="005B5A04">
              <w:t>Q2</w:t>
            </w:r>
            <w:r w:rsidR="00B23E14" w:rsidRPr="005B5A04">
              <w:t>.</w:t>
            </w:r>
            <w:r w:rsidRPr="005B5A04">
              <w:t>1</w:t>
            </w:r>
          </w:p>
        </w:tc>
        <w:tc>
          <w:tcPr>
            <w:tcW w:w="207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52420E6E" w14:textId="69728F28" w:rsidR="00993DD2" w:rsidRPr="005B5A04" w:rsidRDefault="00993DD2" w:rsidP="00993DD2">
            <w:pPr>
              <w:pStyle w:val="TabletextrowsAgency"/>
            </w:pPr>
            <w:r w:rsidRPr="005B5A04">
              <w:t>EFPIA</w:t>
            </w:r>
          </w:p>
        </w:tc>
        <w:tc>
          <w:tcPr>
            <w:tcW w:w="614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7DCF9C5D" w14:textId="6C4610A0" w:rsidR="00993DD2" w:rsidRPr="005B5A04" w:rsidRDefault="139C2155" w:rsidP="6B4CE613">
            <w:pPr>
              <w:rPr>
                <w:rFonts w:ascii="Calibri" w:hAnsi="Calibri" w:cs="Calibri"/>
                <w:sz w:val="22"/>
                <w:szCs w:val="22"/>
              </w:rPr>
            </w:pPr>
            <w:r w:rsidRPr="005B5A04">
              <w:rPr>
                <w:rFonts w:ascii="Calibri" w:hAnsi="Calibri" w:cs="Calibri"/>
                <w:sz w:val="22"/>
                <w:szCs w:val="22"/>
              </w:rPr>
              <w:t>For the 2.1 Question and Answer, "semi-synthetic" should only refer to the drug substance and not the drug product.  Reword the Question and Answer for clarity.</w:t>
            </w:r>
            <w:r w:rsidR="00993DD2" w:rsidRPr="005B5A04">
              <w:br/>
            </w:r>
            <w:r w:rsidRPr="005B5A04">
              <w:rPr>
                <w:rFonts w:ascii="Calibri" w:hAnsi="Calibri" w:cs="Calibri"/>
                <w:sz w:val="22"/>
                <w:szCs w:val="22"/>
              </w:rPr>
              <w:t>Question: Are semi-synthetic drug substances and their corresponding drug products included in the scope…</w:t>
            </w:r>
          </w:p>
          <w:p w14:paraId="6DDA4B85" w14:textId="77777777" w:rsidR="00993DD2" w:rsidRPr="005B5A04" w:rsidRDefault="00993DD2" w:rsidP="6B4CE613">
            <w:pPr>
              <w:rPr>
                <w:rFonts w:ascii="Calibri" w:hAnsi="Calibri" w:cs="Calibri"/>
                <w:sz w:val="22"/>
                <w:szCs w:val="22"/>
              </w:rPr>
            </w:pPr>
          </w:p>
          <w:p w14:paraId="4B306C40" w14:textId="0A5EBF9F" w:rsidR="00993DD2" w:rsidRPr="005B5A04" w:rsidRDefault="139C2155" w:rsidP="00993DD2">
            <w:pPr>
              <w:pStyle w:val="TabletextrowsAgency"/>
            </w:pPr>
            <w:r w:rsidRPr="005B5A04">
              <w:rPr>
                <w:rFonts w:ascii="Calibri" w:hAnsi="Calibri" w:cs="Calibri"/>
                <w:sz w:val="22"/>
                <w:szCs w:val="22"/>
              </w:rPr>
              <w:t>Answer: The following compounds used in the manufacturing process of semi-synthetic drug substances and their corresponding drug products should be considered…</w:t>
            </w:r>
          </w:p>
        </w:tc>
        <w:tc>
          <w:tcPr>
            <w:tcW w:w="448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1BB5A85F" w14:textId="77777777" w:rsidR="00993DD2" w:rsidRPr="00561BA0" w:rsidRDefault="00993DD2" w:rsidP="00242211">
            <w:pPr>
              <w:pStyle w:val="TabletextrowsAgency"/>
            </w:pPr>
          </w:p>
        </w:tc>
      </w:tr>
      <w:tr w:rsidR="005A646F" w:rsidRPr="00B822FC" w14:paraId="2536043F" w14:textId="77777777" w:rsidTr="496F04BF">
        <w:tc>
          <w:tcPr>
            <w:tcW w:w="187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52B61574" w14:textId="753AB250" w:rsidR="005A646F" w:rsidRPr="005B5A04" w:rsidRDefault="005A646F" w:rsidP="005A646F">
            <w:pPr>
              <w:pStyle w:val="TabletextrowsAgency"/>
            </w:pPr>
            <w:r w:rsidRPr="005B5A04">
              <w:t>Q</w:t>
            </w:r>
            <w:r w:rsidR="00A27B16" w:rsidRPr="005B5A04">
              <w:t>3</w:t>
            </w:r>
            <w:r w:rsidRPr="005B5A04">
              <w:t>.1</w:t>
            </w:r>
          </w:p>
        </w:tc>
        <w:tc>
          <w:tcPr>
            <w:tcW w:w="207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2E61F482" w14:textId="6BBB3FCE" w:rsidR="005A646F" w:rsidRPr="005B5A04" w:rsidRDefault="005A646F" w:rsidP="005A646F">
            <w:pPr>
              <w:pStyle w:val="TabletextrowsAgency"/>
            </w:pPr>
            <w:r w:rsidRPr="005B5A04">
              <w:t>EFPIA</w:t>
            </w:r>
          </w:p>
        </w:tc>
        <w:tc>
          <w:tcPr>
            <w:tcW w:w="614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426D1B58" w14:textId="77777777" w:rsidR="00E85474" w:rsidRPr="005B5A04" w:rsidRDefault="00E85474" w:rsidP="00242211">
            <w:pPr>
              <w:rPr>
                <w:rFonts w:ascii="Calibri" w:hAnsi="Calibri" w:cs="Calibri"/>
                <w:sz w:val="22"/>
                <w:szCs w:val="22"/>
              </w:rPr>
            </w:pPr>
            <w:r w:rsidRPr="005B5A04">
              <w:rPr>
                <w:rFonts w:ascii="Calibri" w:hAnsi="Calibri" w:cs="Calibri"/>
                <w:sz w:val="22"/>
                <w:szCs w:val="22"/>
              </w:rPr>
              <w:t>Please add:  </w:t>
            </w:r>
          </w:p>
          <w:p w14:paraId="6EBED3A3" w14:textId="77777777" w:rsidR="00E85474" w:rsidRPr="005B5A04" w:rsidRDefault="00E85474" w:rsidP="00242211">
            <w:pPr>
              <w:rPr>
                <w:rFonts w:ascii="Calibri" w:hAnsi="Calibri" w:cs="Calibri"/>
                <w:sz w:val="22"/>
                <w:szCs w:val="22"/>
              </w:rPr>
            </w:pPr>
            <w:r w:rsidRPr="005B5A04">
              <w:rPr>
                <w:rFonts w:ascii="Calibri" w:hAnsi="Calibri" w:cs="Calibri"/>
                <w:sz w:val="22"/>
                <w:szCs w:val="22"/>
              </w:rPr>
              <w:t xml:space="preserve">Whilst out of scope of ICH M7, a known </w:t>
            </w:r>
            <w:proofErr w:type="gramStart"/>
            <w:r w:rsidRPr="005B5A04">
              <w:rPr>
                <w:rFonts w:ascii="Calibri" w:hAnsi="Calibri" w:cs="Calibri"/>
                <w:sz w:val="22"/>
                <w:szCs w:val="22"/>
              </w:rPr>
              <w:t>non mutagenic</w:t>
            </w:r>
            <w:proofErr w:type="gramEnd"/>
            <w:r w:rsidRPr="005B5A04">
              <w:rPr>
                <w:rFonts w:ascii="Calibri" w:hAnsi="Calibri" w:cs="Calibri"/>
                <w:sz w:val="22"/>
                <w:szCs w:val="22"/>
              </w:rPr>
              <w:t> carcinogen would be considered as ICH M7 class 5 but would require control to the appropriate ADI for that material. </w:t>
            </w:r>
          </w:p>
          <w:p w14:paraId="7EEDF23E" w14:textId="77777777" w:rsidR="005A646F" w:rsidRPr="005B5A04" w:rsidRDefault="005A646F" w:rsidP="005A646F">
            <w:pPr>
              <w:pStyle w:val="TabletextrowsAgency"/>
              <w:rPr>
                <w:rFonts w:ascii="Calibri" w:hAnsi="Calibri" w:cs="Calibri"/>
                <w:sz w:val="22"/>
                <w:szCs w:val="22"/>
              </w:rPr>
            </w:pPr>
          </w:p>
        </w:tc>
        <w:tc>
          <w:tcPr>
            <w:tcW w:w="448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3D88D31D" w14:textId="77777777" w:rsidR="005A646F" w:rsidRPr="00E85474" w:rsidRDefault="005A646F" w:rsidP="005A646F">
            <w:pPr>
              <w:pStyle w:val="TabletextrowsAgency"/>
              <w:rPr>
                <w:color w:val="538135" w:themeColor="accent6" w:themeShade="BF"/>
                <w:highlight w:val="yellow"/>
              </w:rPr>
            </w:pPr>
          </w:p>
          <w:p w14:paraId="09733E9F" w14:textId="77777777" w:rsidR="005A646F" w:rsidRPr="00E85474" w:rsidRDefault="005A646F" w:rsidP="005A646F">
            <w:pPr>
              <w:pStyle w:val="TabletextrowsAgency"/>
              <w:rPr>
                <w:highlight w:val="yellow"/>
              </w:rPr>
            </w:pPr>
          </w:p>
        </w:tc>
      </w:tr>
      <w:tr w:rsidR="002F47A4" w:rsidRPr="00B822FC" w14:paraId="62D81F36" w14:textId="77777777" w:rsidTr="496F04BF">
        <w:tc>
          <w:tcPr>
            <w:tcW w:w="187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07E60462" w14:textId="28B107E5" w:rsidR="002F47A4" w:rsidRPr="005B5A04" w:rsidRDefault="002F47A4" w:rsidP="005A646F">
            <w:pPr>
              <w:pStyle w:val="TabletextrowsAgency"/>
            </w:pPr>
            <w:r w:rsidRPr="005B5A04">
              <w:t>Q4.1</w:t>
            </w:r>
          </w:p>
        </w:tc>
        <w:tc>
          <w:tcPr>
            <w:tcW w:w="207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1E42DD13" w14:textId="5CD189F5" w:rsidR="002F47A4" w:rsidRPr="005B5A04" w:rsidRDefault="002F47A4" w:rsidP="005A646F">
            <w:pPr>
              <w:pStyle w:val="TabletextrowsAgency"/>
            </w:pPr>
            <w:r w:rsidRPr="005B5A04">
              <w:t>EFPIA</w:t>
            </w:r>
          </w:p>
        </w:tc>
        <w:tc>
          <w:tcPr>
            <w:tcW w:w="614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428FBC8C" w14:textId="0FFBF49A" w:rsidR="002F47A4" w:rsidRPr="005B5A04" w:rsidRDefault="357C9BE9" w:rsidP="0EFE065A">
            <w:pPr>
              <w:pStyle w:val="TabletextrowsAgency"/>
            </w:pPr>
            <w:r w:rsidRPr="005B5A04">
              <w:t>Suggestion</w:t>
            </w:r>
            <w:r w:rsidR="00AB460C" w:rsidRPr="005B5A04">
              <w:t xml:space="preserve"> </w:t>
            </w:r>
            <w:r w:rsidR="000E4D99" w:rsidRPr="005B5A04">
              <w:t>to change:</w:t>
            </w:r>
          </w:p>
          <w:p w14:paraId="7E88DE20" w14:textId="26BD1BD0" w:rsidR="002F47A4" w:rsidRPr="005B5A04" w:rsidRDefault="357C9BE9" w:rsidP="0EFE065A">
            <w:pPr>
              <w:pStyle w:val="TabletextrowsAgency"/>
            </w:pPr>
            <w:r w:rsidRPr="005B5A04">
              <w:t>Any increase in dose of the active pharmaceutical ingredient (API) that would increase any mutagenic and potential mutagenic impurity (class 1</w:t>
            </w:r>
            <w:r w:rsidR="383D1E74" w:rsidRPr="005B5A04">
              <w:t>/2</w:t>
            </w:r>
            <w:r w:rsidRPr="005B5A04">
              <w:t xml:space="preserve">) to levels above the acceptable limits is considered significant (see Tables 2 and 3 and the addendum).  </w:t>
            </w:r>
          </w:p>
          <w:p w14:paraId="04777391" w14:textId="77777777" w:rsidR="002F47A4" w:rsidRPr="005B5A04" w:rsidRDefault="357C9BE9" w:rsidP="0EFE065A">
            <w:pPr>
              <w:pStyle w:val="TabletextrowsAgency"/>
            </w:pPr>
            <w:r w:rsidRPr="005B5A04">
              <w:t xml:space="preserve"> </w:t>
            </w:r>
          </w:p>
          <w:p w14:paraId="425CC2B3" w14:textId="50A6A831" w:rsidR="002F47A4" w:rsidRPr="005B5A04" w:rsidRDefault="357C9BE9" w:rsidP="0EFE065A">
            <w:pPr>
              <w:pStyle w:val="TabletextrowsAgency"/>
            </w:pPr>
            <w:r w:rsidRPr="005B5A04">
              <w:lastRenderedPageBreak/>
              <w:t>In such cases a re-evaluation of the mutagenic impurity limits is recommended</w:t>
            </w:r>
          </w:p>
          <w:p w14:paraId="0627E198" w14:textId="08C7F45C" w:rsidR="002F47A4" w:rsidRPr="005B5A04" w:rsidRDefault="002F47A4" w:rsidP="005A646F">
            <w:pPr>
              <w:pStyle w:val="TabletextrowsAgency"/>
            </w:pPr>
          </w:p>
        </w:tc>
        <w:tc>
          <w:tcPr>
            <w:tcW w:w="448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430646D5" w14:textId="71C45998" w:rsidR="002F47A4" w:rsidRDefault="002F47A4" w:rsidP="005A646F">
            <w:pPr>
              <w:pStyle w:val="TabletextrowsAgency"/>
              <w:rPr>
                <w:color w:val="538135" w:themeColor="accent6" w:themeShade="BF"/>
              </w:rPr>
            </w:pPr>
          </w:p>
        </w:tc>
      </w:tr>
      <w:tr w:rsidR="008253BE" w:rsidRPr="00B822FC" w14:paraId="26B19503" w14:textId="77777777" w:rsidTr="496F04BF">
        <w:tc>
          <w:tcPr>
            <w:tcW w:w="187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6FC51221" w14:textId="1FA5B92A" w:rsidR="008253BE" w:rsidRPr="005B5A04" w:rsidRDefault="008253BE" w:rsidP="008253BE">
            <w:pPr>
              <w:pStyle w:val="TabletextrowsAgency"/>
            </w:pPr>
            <w:r w:rsidRPr="005B5A04">
              <w:t>Q</w:t>
            </w:r>
            <w:r w:rsidR="00015983" w:rsidRPr="005B5A04">
              <w:t>6.2</w:t>
            </w:r>
          </w:p>
        </w:tc>
        <w:tc>
          <w:tcPr>
            <w:tcW w:w="207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76556E67" w14:textId="406E7943" w:rsidR="008253BE" w:rsidRPr="005B5A04" w:rsidRDefault="008253BE" w:rsidP="008253BE">
            <w:pPr>
              <w:pStyle w:val="TabletextrowsAgency"/>
            </w:pPr>
            <w:r w:rsidRPr="005B5A04">
              <w:t>EFPIA</w:t>
            </w:r>
          </w:p>
        </w:tc>
        <w:tc>
          <w:tcPr>
            <w:tcW w:w="614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20F7B513" w14:textId="77777777" w:rsidR="00E453D4" w:rsidRPr="005B5A04" w:rsidRDefault="6DC86500" w:rsidP="008253BE">
            <w:pPr>
              <w:pStyle w:val="TabletextrowsAgency"/>
            </w:pPr>
            <w:r w:rsidRPr="005B5A04">
              <w:t>An out of domain or non-coverage result from one of the two (Q)SAR models requires additional assessment in order to classify the compound as a Class 5.</w:t>
            </w:r>
          </w:p>
          <w:p w14:paraId="5B2E0124" w14:textId="37821368" w:rsidR="00E453D4" w:rsidRPr="005B5A04" w:rsidRDefault="00E453D4" w:rsidP="00E453D4">
            <w:pPr>
              <w:pStyle w:val="TabletextrowsAgency"/>
            </w:pPr>
            <w:r w:rsidRPr="005B5A04">
              <w:t>Given that the relationship between chemical structure and DNA reactivity is well understood, it is unlikely that a structure with mutagenic potential would be associated with an out of domain result. However, expert review can provide reassurance in</w:t>
            </w:r>
            <w:r w:rsidR="00591A70" w:rsidRPr="005B5A04">
              <w:t xml:space="preserve"> </w:t>
            </w:r>
            <w:r w:rsidRPr="005B5A04">
              <w:t>assignment of such impurities to class 5.</w:t>
            </w:r>
          </w:p>
          <w:p w14:paraId="0EEEAD27" w14:textId="77777777" w:rsidR="00E453D4" w:rsidRPr="005B5A04" w:rsidRDefault="00E453D4" w:rsidP="00E453D4">
            <w:pPr>
              <w:pStyle w:val="TabletextrowsAgency"/>
            </w:pPr>
          </w:p>
          <w:p w14:paraId="75757A4C" w14:textId="74A1DDD8" w:rsidR="00E453D4" w:rsidRPr="005B5A04" w:rsidRDefault="00E453D4" w:rsidP="00E453D4">
            <w:pPr>
              <w:pStyle w:val="TabletextrowsAgency"/>
            </w:pPr>
            <w:r w:rsidRPr="005B5A04">
              <w:t>Expert review may include one or a combination of the following [Amberg et. al., 2019]:</w:t>
            </w:r>
          </w:p>
          <w:p w14:paraId="36E19A3D" w14:textId="77777777" w:rsidR="00E453D4" w:rsidRPr="005B5A04" w:rsidRDefault="00E453D4" w:rsidP="00E453D4">
            <w:pPr>
              <w:pStyle w:val="TabletextrowsAgency"/>
            </w:pPr>
            <w:r w:rsidRPr="005B5A04">
              <w:t xml:space="preserve">1. Comparison to structurally similar </w:t>
            </w:r>
            <w:proofErr w:type="spellStart"/>
            <w:r w:rsidRPr="005B5A04">
              <w:t>analogs</w:t>
            </w:r>
            <w:proofErr w:type="spellEnd"/>
            <w:r w:rsidRPr="005B5A04">
              <w:t xml:space="preserve"> for which bacterial reverse mutation assay data are available (read-across approach)</w:t>
            </w:r>
          </w:p>
          <w:p w14:paraId="07E6EDE8" w14:textId="392B5F48" w:rsidR="00E453D4" w:rsidRPr="005B5A04" w:rsidRDefault="00E453D4" w:rsidP="00E453D4">
            <w:pPr>
              <w:pStyle w:val="TabletextrowsAgency"/>
            </w:pPr>
            <w:r w:rsidRPr="005B5A04">
              <w:t>2. Expert review of the chemical structure to determine if there is potential for the chemical to react with DNA.</w:t>
            </w:r>
          </w:p>
          <w:p w14:paraId="45B606BA" w14:textId="156FBB8D" w:rsidR="008253BE" w:rsidRPr="005B5A04" w:rsidRDefault="00E453D4" w:rsidP="00E453D4">
            <w:pPr>
              <w:pStyle w:val="TabletextrowsAgency"/>
            </w:pPr>
            <w:r w:rsidRPr="005B5A04">
              <w:t>3. (Q)SAR output from an additional validated model (see Question 6.1) of the</w:t>
            </w:r>
            <w:r w:rsidR="340C2544" w:rsidRPr="005B5A04">
              <w:t xml:space="preserve"> </w:t>
            </w:r>
            <w:r w:rsidRPr="005B5A04">
              <w:t>same methodology (i.e., expert rule-based or statistical) that generates a prediction that is within its applicability domain</w:t>
            </w:r>
            <w:r w:rsidR="6DC86500" w:rsidRPr="005B5A04">
              <w:t xml:space="preserve">         </w:t>
            </w:r>
          </w:p>
          <w:p w14:paraId="46794D58" w14:textId="77777777" w:rsidR="008253BE" w:rsidRPr="005B5A04" w:rsidRDefault="008253BE" w:rsidP="008253BE">
            <w:pPr>
              <w:pStyle w:val="TabletextrowsAgency"/>
            </w:pPr>
          </w:p>
        </w:tc>
        <w:tc>
          <w:tcPr>
            <w:tcW w:w="448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36990069" w14:textId="77777777" w:rsidR="008253BE" w:rsidRPr="00561BA0" w:rsidRDefault="008253BE" w:rsidP="000E0A56">
            <w:pPr>
              <w:pStyle w:val="TabletextrowsAgency"/>
            </w:pPr>
          </w:p>
        </w:tc>
      </w:tr>
      <w:tr w:rsidR="00015983" w:rsidRPr="00B822FC" w14:paraId="28897DB3" w14:textId="77777777" w:rsidTr="496F04BF">
        <w:tc>
          <w:tcPr>
            <w:tcW w:w="187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4055CA37" w14:textId="7A0BE357" w:rsidR="00015983" w:rsidRPr="005B5A04" w:rsidRDefault="00015983" w:rsidP="00015983">
            <w:pPr>
              <w:pStyle w:val="TabletextrowsAgency"/>
            </w:pPr>
            <w:r w:rsidRPr="005B5A04">
              <w:t>Q6.3</w:t>
            </w:r>
          </w:p>
        </w:tc>
        <w:tc>
          <w:tcPr>
            <w:tcW w:w="207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363B7447" w14:textId="79482C40" w:rsidR="00015983" w:rsidRPr="005B5A04" w:rsidRDefault="00015983" w:rsidP="00015983">
            <w:pPr>
              <w:pStyle w:val="TabletextrowsAgency"/>
            </w:pPr>
            <w:r w:rsidRPr="005B5A04">
              <w:t>EFPIA</w:t>
            </w:r>
          </w:p>
        </w:tc>
        <w:tc>
          <w:tcPr>
            <w:tcW w:w="614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21E88888" w14:textId="35CC78DB" w:rsidR="00015983" w:rsidRPr="005B5A04" w:rsidRDefault="48CFD048" w:rsidP="00015983">
            <w:pPr>
              <w:pStyle w:val="TabletextrowsAgency"/>
            </w:pPr>
            <w:r w:rsidRPr="005B5A04">
              <w:t>N/A</w:t>
            </w:r>
          </w:p>
        </w:tc>
        <w:tc>
          <w:tcPr>
            <w:tcW w:w="448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70CAA0D8" w14:textId="77777777" w:rsidR="00015983" w:rsidRPr="00561BA0" w:rsidRDefault="00015983" w:rsidP="00015983">
            <w:pPr>
              <w:pStyle w:val="TabletextrowsAgency"/>
            </w:pPr>
          </w:p>
        </w:tc>
      </w:tr>
      <w:tr w:rsidR="00E75693" w:rsidRPr="00B822FC" w14:paraId="3C0B18E3" w14:textId="77777777" w:rsidTr="496F04BF">
        <w:tc>
          <w:tcPr>
            <w:tcW w:w="187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761DEBDC" w14:textId="3D863FA5" w:rsidR="00E75693" w:rsidRPr="005B5A04" w:rsidRDefault="7D3D09A9" w:rsidP="00E75693">
            <w:pPr>
              <w:pStyle w:val="TabletextrowsAgency"/>
            </w:pPr>
            <w:r w:rsidRPr="005B5A04">
              <w:t>Q6.</w:t>
            </w:r>
            <w:r w:rsidR="13CB7B43" w:rsidRPr="005B5A04">
              <w:t>4</w:t>
            </w:r>
          </w:p>
        </w:tc>
        <w:tc>
          <w:tcPr>
            <w:tcW w:w="207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74EE54CC" w14:textId="3CD8CB1F" w:rsidR="00E75693" w:rsidRPr="005B5A04" w:rsidRDefault="00E75693" w:rsidP="00E75693">
            <w:pPr>
              <w:pStyle w:val="TabletextrowsAgency"/>
              <w:jc w:val="both"/>
            </w:pPr>
            <w:r w:rsidRPr="005B5A04">
              <w:t>EFPIA</w:t>
            </w:r>
          </w:p>
        </w:tc>
        <w:tc>
          <w:tcPr>
            <w:tcW w:w="614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544B535D" w14:textId="2BE06E0E" w:rsidR="00E75693" w:rsidRPr="005B5A04" w:rsidRDefault="1A0EE870" w:rsidP="0EFE065A">
            <w:pPr>
              <w:pStyle w:val="TabletextrowsAgency"/>
            </w:pPr>
            <w:r w:rsidRPr="005B5A04">
              <w:t xml:space="preserve">If an impurity is positive in the Ames test, and </w:t>
            </w:r>
            <w:r w:rsidR="2BCA1DC2" w:rsidRPr="005B5A04">
              <w:rPr>
                <w:rFonts w:eastAsia="Verdana"/>
              </w:rPr>
              <w:t xml:space="preserve">levels of the impurity cannot be controlled at an appropriate acceptable limit, </w:t>
            </w:r>
            <w:r w:rsidR="2BCA1DC2" w:rsidRPr="005B5A04">
              <w:rPr>
                <w:rFonts w:eastAsia="Verdana"/>
              </w:rPr>
              <w:lastRenderedPageBreak/>
              <w:t>it is recommended to</w:t>
            </w:r>
            <w:r w:rsidRPr="005B5A04">
              <w:rPr>
                <w:rFonts w:eastAsia="Verdana"/>
              </w:rPr>
              <w:t xml:space="preserve"> </w:t>
            </w:r>
            <w:r w:rsidR="4DF9FCDD" w:rsidRPr="005B5A04">
              <w:rPr>
                <w:rFonts w:eastAsia="Verdana"/>
              </w:rPr>
              <w:t xml:space="preserve">conduct an </w:t>
            </w:r>
            <w:r w:rsidRPr="005B5A04">
              <w:t>in vivo follow-up test with mutagenic endpoint (mutagenicity). The other follow-up tests outlined in Note 3 are also acceptable when scientific rationale is provided to support their use.</w:t>
            </w:r>
          </w:p>
          <w:p w14:paraId="40426AF0" w14:textId="77777777" w:rsidR="00E75693" w:rsidRPr="005B5A04" w:rsidRDefault="00E75693" w:rsidP="0EFE065A">
            <w:pPr>
              <w:pStyle w:val="TabletextrowsAgency"/>
            </w:pPr>
          </w:p>
          <w:p w14:paraId="15C10F9F" w14:textId="0A40D05F" w:rsidR="00E75693" w:rsidRPr="005B5A04" w:rsidRDefault="1A0EE870" w:rsidP="00E75693">
            <w:pPr>
              <w:pStyle w:val="TabletextrowsAgency"/>
            </w:pPr>
            <w:r w:rsidRPr="005B5A04">
              <w:t>For any of the above tests, adequate exposure should be demonstrated in line with ICH S2.</w:t>
            </w:r>
          </w:p>
          <w:p w14:paraId="63F54511" w14:textId="0FD1DA39" w:rsidR="00E75693" w:rsidRPr="005B5A04" w:rsidRDefault="00E75693" w:rsidP="00E75693">
            <w:pPr>
              <w:pStyle w:val="TabletextrowsAgency"/>
            </w:pPr>
          </w:p>
          <w:p w14:paraId="53679117" w14:textId="77777777" w:rsidR="00E75693" w:rsidRPr="005B5A04" w:rsidRDefault="00E75693" w:rsidP="00E75693">
            <w:pPr>
              <w:pStyle w:val="TabletextrowsAgency"/>
            </w:pPr>
          </w:p>
          <w:p w14:paraId="76381C4E" w14:textId="77777777" w:rsidR="00E75693" w:rsidRPr="005B5A04" w:rsidRDefault="00E75693" w:rsidP="00E75693">
            <w:pPr>
              <w:pStyle w:val="TabletextrowsAgency"/>
              <w:rPr>
                <w:rFonts w:ascii="Calibri" w:hAnsi="Calibri" w:cs="Calibri"/>
                <w:sz w:val="22"/>
                <w:szCs w:val="22"/>
              </w:rPr>
            </w:pPr>
          </w:p>
        </w:tc>
        <w:tc>
          <w:tcPr>
            <w:tcW w:w="448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4735F91F" w14:textId="77777777" w:rsidR="00E75693" w:rsidRDefault="00E75693" w:rsidP="00E75693">
            <w:pPr>
              <w:pStyle w:val="TabletextrowsAgency"/>
              <w:rPr>
                <w:color w:val="538135" w:themeColor="accent6" w:themeShade="BF"/>
              </w:rPr>
            </w:pPr>
          </w:p>
          <w:p w14:paraId="61A2C276" w14:textId="77777777" w:rsidR="00E75693" w:rsidRPr="00561BA0" w:rsidRDefault="00E75693" w:rsidP="00E75693">
            <w:pPr>
              <w:pStyle w:val="TabletextrowsAgency"/>
            </w:pPr>
          </w:p>
        </w:tc>
      </w:tr>
      <w:tr w:rsidR="00D82C44" w:rsidRPr="00B822FC" w14:paraId="0536956E" w14:textId="77777777" w:rsidTr="496F04BF">
        <w:tc>
          <w:tcPr>
            <w:tcW w:w="187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6C27CE05" w14:textId="127369E0" w:rsidR="00D82C44" w:rsidRPr="005B5A04" w:rsidRDefault="00D82C44" w:rsidP="00D82C44">
            <w:pPr>
              <w:pStyle w:val="TabletextrowsAgency"/>
            </w:pPr>
            <w:r w:rsidRPr="005B5A04">
              <w:t>Q</w:t>
            </w:r>
            <w:r w:rsidR="00603661" w:rsidRPr="005B5A04">
              <w:t>7.1</w:t>
            </w:r>
          </w:p>
        </w:tc>
        <w:tc>
          <w:tcPr>
            <w:tcW w:w="207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4E1795F1" w14:textId="681153FB" w:rsidR="00D82C44" w:rsidRPr="005B5A04" w:rsidRDefault="00D82C44" w:rsidP="00D82C44">
            <w:pPr>
              <w:pStyle w:val="TabletextrowsAgency"/>
              <w:jc w:val="both"/>
            </w:pPr>
            <w:r w:rsidRPr="005B5A04">
              <w:t>EFPIA</w:t>
            </w:r>
          </w:p>
        </w:tc>
        <w:tc>
          <w:tcPr>
            <w:tcW w:w="614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7BCFB53F" w14:textId="240E59A1" w:rsidR="00D82C44" w:rsidRPr="005B5A04" w:rsidRDefault="31B7487F" w:rsidP="00D82C44">
            <w:pPr>
              <w:pStyle w:val="TabletextrowsAgency"/>
            </w:pPr>
            <w:r w:rsidRPr="005B5A04">
              <w:t xml:space="preserve">Please re-discuss if the term </w:t>
            </w:r>
            <w:r w:rsidR="00FC567C" w:rsidRPr="005B5A04">
              <w:t>“</w:t>
            </w:r>
            <w:r w:rsidRPr="005B5A04">
              <w:t>clearly</w:t>
            </w:r>
            <w:r w:rsidR="00FC567C" w:rsidRPr="005B5A04">
              <w:t>”</w:t>
            </w:r>
            <w:r w:rsidRPr="005B5A04">
              <w:t xml:space="preserve"> is needed</w:t>
            </w:r>
          </w:p>
          <w:p w14:paraId="6A6935C2" w14:textId="77777777" w:rsidR="00D82C44" w:rsidRPr="005B5A04" w:rsidRDefault="00D82C44" w:rsidP="00D82C44">
            <w:pPr>
              <w:pStyle w:val="TabletextrowsAgency"/>
            </w:pPr>
          </w:p>
          <w:p w14:paraId="79E02FC4" w14:textId="77777777" w:rsidR="00D82C44" w:rsidRPr="005B5A04" w:rsidRDefault="00D82C44" w:rsidP="00D82C44">
            <w:pPr>
              <w:pStyle w:val="TabletextrowsAgency"/>
            </w:pPr>
          </w:p>
        </w:tc>
        <w:tc>
          <w:tcPr>
            <w:tcW w:w="448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28955DA7" w14:textId="77777777" w:rsidR="00D82C44" w:rsidRPr="00561BA0" w:rsidRDefault="00D82C44" w:rsidP="00D82C44">
            <w:pPr>
              <w:pStyle w:val="TabletextrowsAgency"/>
            </w:pPr>
          </w:p>
        </w:tc>
      </w:tr>
      <w:tr w:rsidR="0043125A" w:rsidRPr="00B822FC" w14:paraId="604ADC62" w14:textId="77777777" w:rsidTr="496F04BF">
        <w:tc>
          <w:tcPr>
            <w:tcW w:w="187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5E228DCF" w14:textId="2E212BCC" w:rsidR="0043125A" w:rsidRPr="005B5A04" w:rsidRDefault="0043125A" w:rsidP="0043125A">
            <w:pPr>
              <w:pStyle w:val="TabletextrowsAgency"/>
            </w:pPr>
            <w:r w:rsidRPr="005B5A04">
              <w:t>Q7.</w:t>
            </w:r>
            <w:r w:rsidR="00531B85" w:rsidRPr="005B5A04">
              <w:t>2</w:t>
            </w:r>
          </w:p>
        </w:tc>
        <w:tc>
          <w:tcPr>
            <w:tcW w:w="207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6EA71B42" w14:textId="0C5F648C" w:rsidR="0043125A" w:rsidRPr="005B5A04" w:rsidRDefault="0043125A" w:rsidP="0043125A">
            <w:pPr>
              <w:pStyle w:val="TabletextrowsAgency"/>
            </w:pPr>
            <w:r w:rsidRPr="005B5A04">
              <w:t>EFPIA</w:t>
            </w:r>
          </w:p>
        </w:tc>
        <w:tc>
          <w:tcPr>
            <w:tcW w:w="614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42A101BC" w14:textId="2E0E4F54" w:rsidR="0043125A" w:rsidRPr="005B5A04" w:rsidRDefault="66B3BD1B" w:rsidP="0EFE065A">
            <w:pPr>
              <w:pStyle w:val="TabletextrowsAgency"/>
              <w:rPr>
                <w:rFonts w:ascii="Arial" w:hAnsi="Arial" w:cs="Arial"/>
                <w:sz w:val="20"/>
                <w:szCs w:val="20"/>
              </w:rPr>
            </w:pPr>
            <w:r w:rsidRPr="005B5A04">
              <w:rPr>
                <w:rFonts w:cs="Arial"/>
                <w:i/>
                <w:iCs/>
              </w:rPr>
              <w:t>In vivo</w:t>
            </w:r>
            <w:r w:rsidRPr="005B5A04">
              <w:rPr>
                <w:rFonts w:cs="Arial"/>
              </w:rPr>
              <w:t xml:space="preserve"> gene mutation assays are currently not validated to directly assess cancer risk because the endpoint is mutation and not carcinogenicity </w:t>
            </w:r>
            <w:r w:rsidR="001E5F59" w:rsidRPr="005B5A04">
              <w:rPr>
                <w:rFonts w:cs="Arial"/>
              </w:rPr>
              <w:br/>
            </w:r>
            <w:r w:rsidRPr="005B5A04">
              <w:rPr>
                <w:rFonts w:cs="Arial"/>
              </w:rPr>
              <w:t>Results from these tests could identify mode of action and/or direct further testing strategy to complement the available data for a weight of evidence approach</w:t>
            </w:r>
            <w:r w:rsidR="4EC158A7" w:rsidRPr="005B5A04">
              <w:rPr>
                <w:rFonts w:cs="Arial"/>
              </w:rPr>
              <w:t xml:space="preserve"> </w:t>
            </w:r>
            <w:proofErr w:type="spellStart"/>
            <w:r w:rsidR="4EC158A7" w:rsidRPr="005B5A04">
              <w:rPr>
                <w:rFonts w:cs="Arial"/>
              </w:rPr>
              <w:t>ie</w:t>
            </w:r>
            <w:proofErr w:type="spellEnd"/>
            <w:r w:rsidR="4EC158A7" w:rsidRPr="005B5A04">
              <w:rPr>
                <w:rFonts w:cs="Arial"/>
              </w:rPr>
              <w:t>.</w:t>
            </w:r>
            <w:r w:rsidRPr="005B5A04">
              <w:rPr>
                <w:rFonts w:cs="Arial"/>
              </w:rPr>
              <w:t xml:space="preserve"> data from a well-conducted in vivo mutation assay could be utilized </w:t>
            </w:r>
            <w:r w:rsidR="2DE7DBE0" w:rsidRPr="005B5A04">
              <w:rPr>
                <w:rFonts w:cs="Arial"/>
              </w:rPr>
              <w:t xml:space="preserve">in a </w:t>
            </w:r>
            <w:r w:rsidR="001E5F59" w:rsidRPr="005B5A04">
              <w:rPr>
                <w:rFonts w:cs="Arial"/>
              </w:rPr>
              <w:t>weight</w:t>
            </w:r>
            <w:r w:rsidR="2DE7DBE0" w:rsidRPr="005B5A04">
              <w:rPr>
                <w:rFonts w:cs="Arial"/>
              </w:rPr>
              <w:t xml:space="preserve"> of evidence </w:t>
            </w:r>
            <w:r w:rsidRPr="005B5A04">
              <w:rPr>
                <w:rFonts w:cs="Arial"/>
              </w:rPr>
              <w:t>to justify a limit higher than the TTC on a case-by-case basis.  Justification for the point of departure utilized in calculating a safe level, as well as uncertainty factors or safety margins would need to be provided.”</w:t>
            </w:r>
          </w:p>
          <w:p w14:paraId="1BCDA3BF" w14:textId="77777777" w:rsidR="0043125A" w:rsidRPr="005B5A04" w:rsidRDefault="0043125A" w:rsidP="001E5F59">
            <w:pPr>
              <w:pStyle w:val="TabletextrowsAgency"/>
            </w:pPr>
          </w:p>
        </w:tc>
        <w:tc>
          <w:tcPr>
            <w:tcW w:w="448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3B0F9819" w14:textId="55914CEE" w:rsidR="0043125A" w:rsidRPr="00F169F4" w:rsidRDefault="0043125A" w:rsidP="001E5F59">
            <w:pPr>
              <w:pStyle w:val="TabletextrowsAgency"/>
              <w:rPr>
                <w:color w:val="538135" w:themeColor="accent6" w:themeShade="BF"/>
              </w:rPr>
            </w:pPr>
          </w:p>
        </w:tc>
      </w:tr>
      <w:tr w:rsidR="00EC5150" w:rsidRPr="00B822FC" w14:paraId="10AB26A4" w14:textId="77777777" w:rsidTr="496F04BF">
        <w:tc>
          <w:tcPr>
            <w:tcW w:w="187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3556293E" w14:textId="2494BBAB" w:rsidR="00EC5150" w:rsidRPr="005B5A04" w:rsidRDefault="00EC5150" w:rsidP="00EC5150">
            <w:pPr>
              <w:pStyle w:val="TabletextrowsAgency"/>
            </w:pPr>
            <w:r w:rsidRPr="005B5A04">
              <w:t>Q7.</w:t>
            </w:r>
            <w:r w:rsidR="00911C6E" w:rsidRPr="005B5A04">
              <w:t>3</w:t>
            </w:r>
          </w:p>
        </w:tc>
        <w:tc>
          <w:tcPr>
            <w:tcW w:w="207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4578FF19" w14:textId="47615C7B" w:rsidR="00EC5150" w:rsidRPr="005B5A04" w:rsidRDefault="00EC5150" w:rsidP="00EC5150">
            <w:pPr>
              <w:pStyle w:val="TabletextrowsAgency"/>
            </w:pPr>
            <w:r w:rsidRPr="005B5A04">
              <w:t>EFPIA</w:t>
            </w:r>
          </w:p>
        </w:tc>
        <w:tc>
          <w:tcPr>
            <w:tcW w:w="614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2B0404EC" w14:textId="69678487" w:rsidR="00EC5150" w:rsidRPr="005B5A04" w:rsidRDefault="00D96C67" w:rsidP="00EC5150">
            <w:pPr>
              <w:pStyle w:val="TabletextrowsAgency"/>
            </w:pPr>
            <w:r w:rsidRPr="005B5A04">
              <w:t xml:space="preserve">The LTL approach can be applied to compounds with exposure limits based on a compound/class specific AI </w:t>
            </w:r>
            <w:r w:rsidR="00A23FBF" w:rsidRPr="005B5A04">
              <w:t>(</w:t>
            </w:r>
            <w:r w:rsidR="00202677" w:rsidRPr="005B5A04">
              <w:t>S</w:t>
            </w:r>
            <w:r w:rsidR="00A23FBF" w:rsidRPr="005B5A04">
              <w:t>ection 7.2.2</w:t>
            </w:r>
            <w:r w:rsidR="00FD3431" w:rsidRPr="005B5A04">
              <w:t>)</w:t>
            </w:r>
            <w:r w:rsidRPr="005B5A04">
              <w:t>.</w:t>
            </w:r>
            <w:r w:rsidR="00312D64" w:rsidRPr="005B5A04">
              <w:t xml:space="preserve"> </w:t>
            </w:r>
            <w:r w:rsidR="009D78C7" w:rsidRPr="005B5A04">
              <w:lastRenderedPageBreak/>
              <w:t xml:space="preserve">This LTL approach is not directly applicable to PDEs </w:t>
            </w:r>
            <w:r w:rsidR="00213264" w:rsidRPr="005B5A04">
              <w:t xml:space="preserve">as they </w:t>
            </w:r>
            <w:r w:rsidR="00C70357" w:rsidRPr="005B5A04">
              <w:t xml:space="preserve">are derived by a different methodology </w:t>
            </w:r>
            <w:r w:rsidR="009D78C7" w:rsidRPr="005B5A04">
              <w:t>(Section 7.2.2)</w:t>
            </w:r>
            <w:r w:rsidR="00E90BA7" w:rsidRPr="005B5A04">
              <w:t xml:space="preserve">, </w:t>
            </w:r>
            <w:r w:rsidR="009D78C7" w:rsidRPr="005B5A04">
              <w:t xml:space="preserve">however </w:t>
            </w:r>
            <w:r w:rsidR="00C70357" w:rsidRPr="005B5A04">
              <w:t>h</w:t>
            </w:r>
            <w:r w:rsidR="00312D64" w:rsidRPr="005B5A04">
              <w:t>igher levels of exposure for short-term exposure (30 days or less)</w:t>
            </w:r>
            <w:r w:rsidR="282ED1B2" w:rsidRPr="005B5A04">
              <w:t xml:space="preserve"> are outside of scope of ICH M7</w:t>
            </w:r>
            <w:r w:rsidR="00312D64" w:rsidRPr="005B5A04">
              <w:t xml:space="preserve"> </w:t>
            </w:r>
            <w:r w:rsidR="42EBA469" w:rsidRPr="005B5A04">
              <w:t xml:space="preserve">but </w:t>
            </w:r>
            <w:r w:rsidR="00312D64" w:rsidRPr="005B5A04">
              <w:t xml:space="preserve">may be </w:t>
            </w:r>
            <w:r w:rsidR="00542968" w:rsidRPr="005B5A04">
              <w:t xml:space="preserve">considered </w:t>
            </w:r>
            <w:r w:rsidR="00312D64" w:rsidRPr="005B5A04">
              <w:t>acceptable on a case by case basis</w:t>
            </w:r>
            <w:r w:rsidR="00957497" w:rsidRPr="005B5A04">
              <w:t xml:space="preserve"> using the principles defined in ICH Q3</w:t>
            </w:r>
            <w:r w:rsidR="006D3B3C" w:rsidRPr="005B5A04">
              <w:t>C</w:t>
            </w:r>
            <w:r w:rsidR="005F3CE0" w:rsidRPr="005B5A04">
              <w:t xml:space="preserve"> &amp; </w:t>
            </w:r>
            <w:r w:rsidR="00957497" w:rsidRPr="005B5A04">
              <w:t>D</w:t>
            </w:r>
            <w:r w:rsidR="00C70357" w:rsidRPr="005B5A04">
              <w:t>.</w:t>
            </w:r>
          </w:p>
          <w:p w14:paraId="4DDF382D" w14:textId="77777777" w:rsidR="00EC5150" w:rsidRPr="005B5A04" w:rsidRDefault="00EC5150" w:rsidP="00EC5150">
            <w:pPr>
              <w:rPr>
                <w:rFonts w:ascii="Arial" w:hAnsi="Arial" w:cs="Arial"/>
                <w:sz w:val="20"/>
                <w:szCs w:val="20"/>
              </w:rPr>
            </w:pPr>
          </w:p>
        </w:tc>
        <w:tc>
          <w:tcPr>
            <w:tcW w:w="448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077AE4E0" w14:textId="77777777" w:rsidR="00EC5150" w:rsidRPr="00561BA0" w:rsidRDefault="00EC5150" w:rsidP="00EC5150">
            <w:pPr>
              <w:pStyle w:val="TabletextrowsAgency"/>
            </w:pPr>
          </w:p>
        </w:tc>
      </w:tr>
      <w:tr w:rsidR="00EC5150" w:rsidRPr="00B822FC" w14:paraId="52BD305D" w14:textId="77777777" w:rsidTr="496F04BF">
        <w:tc>
          <w:tcPr>
            <w:tcW w:w="187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5F3EACA0" w14:textId="7F346BEF" w:rsidR="00EC5150" w:rsidRPr="005B5A04" w:rsidRDefault="00EC5150" w:rsidP="00EC5150">
            <w:pPr>
              <w:pStyle w:val="TabletextrowsAgency"/>
            </w:pPr>
            <w:r w:rsidRPr="005B5A04">
              <w:t>Q7.</w:t>
            </w:r>
            <w:r w:rsidR="00911C6E" w:rsidRPr="005B5A04">
              <w:t>4</w:t>
            </w:r>
          </w:p>
        </w:tc>
        <w:tc>
          <w:tcPr>
            <w:tcW w:w="207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027163E6" w14:textId="6494DC90" w:rsidR="00EC5150" w:rsidRPr="005B5A04" w:rsidRDefault="00EC5150" w:rsidP="00EC5150">
            <w:pPr>
              <w:pStyle w:val="TabletextrowsAgency"/>
            </w:pPr>
            <w:r w:rsidRPr="005B5A04">
              <w:t>EFPIA</w:t>
            </w:r>
          </w:p>
        </w:tc>
        <w:tc>
          <w:tcPr>
            <w:tcW w:w="614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687AFA31" w14:textId="65D6A84C" w:rsidR="0090495A" w:rsidRPr="005B5A04" w:rsidRDefault="0090495A" w:rsidP="0090495A">
            <w:pPr>
              <w:pStyle w:val="TabletextrowsAgency"/>
            </w:pPr>
            <w:r w:rsidRPr="005B5A04">
              <w:t>Clarification needed as the lifetime duration is for drugs intended for HIV treatment. HIV drugs for cure and pre-exposure prophylaxis (</w:t>
            </w:r>
            <w:proofErr w:type="spellStart"/>
            <w:r w:rsidRPr="005B5A04">
              <w:t>PrEP</w:t>
            </w:r>
            <w:proofErr w:type="spellEnd"/>
            <w:r w:rsidRPr="005B5A04">
              <w:t xml:space="preserve">) may have different treatment regimens and should be considered separately. Also need to clarify that this applies to HIV-treatment drugs at the marketing phase. </w:t>
            </w:r>
          </w:p>
          <w:p w14:paraId="408FD213" w14:textId="77777777" w:rsidR="0090495A" w:rsidRPr="005B5A04" w:rsidRDefault="0090495A" w:rsidP="001E5F59">
            <w:pPr>
              <w:pStyle w:val="TabletextrowsAgency"/>
            </w:pPr>
          </w:p>
          <w:p w14:paraId="0F912EF4" w14:textId="64A8F36F" w:rsidR="00406E75" w:rsidRPr="005B5A04" w:rsidRDefault="00406E75" w:rsidP="001E5F59">
            <w:pPr>
              <w:pStyle w:val="TabletextrowsAgency"/>
            </w:pPr>
            <w:r w:rsidRPr="005B5A04">
              <w:t>Pleased Revise the following:</w:t>
            </w:r>
          </w:p>
          <w:p w14:paraId="0F418D23" w14:textId="5B5877F2" w:rsidR="009B37D8" w:rsidRPr="005B5A04" w:rsidRDefault="00406E75" w:rsidP="001E5F59">
            <w:pPr>
              <w:pStyle w:val="TabletextrowsAgency"/>
            </w:pPr>
            <w:r w:rsidRPr="005B5A04">
              <w:t xml:space="preserve">“For regulatory submissions 18 months after the date:” </w:t>
            </w:r>
            <w:r w:rsidR="00C76085" w:rsidRPr="005B5A04">
              <w:t>into</w:t>
            </w:r>
            <w:r w:rsidRPr="005B5A04">
              <w:br/>
              <w:t xml:space="preserve">For </w:t>
            </w:r>
            <w:r w:rsidRPr="005B5A04">
              <w:rPr>
                <w:b/>
                <w:bCs/>
              </w:rPr>
              <w:t>HIV treatment-related</w:t>
            </w:r>
            <w:r w:rsidRPr="005B5A04">
              <w:t xml:space="preserve"> regulatory submissions ….”. </w:t>
            </w:r>
            <w:r w:rsidR="009B37D8" w:rsidRPr="005B5A04">
              <w:br/>
            </w:r>
            <w:r w:rsidRPr="005B5A04">
              <w:t>Also, change the 1st bullet point to “applications for marketing of new drug substances and new drug products”.</w:t>
            </w:r>
          </w:p>
          <w:p w14:paraId="520E4FB2" w14:textId="77777777" w:rsidR="00EC5150" w:rsidRDefault="00406E75" w:rsidP="001E5F59">
            <w:pPr>
              <w:pStyle w:val="TabletextrowsAgency"/>
            </w:pPr>
            <w:r w:rsidRPr="005B5A04">
              <w:t xml:space="preserve">Finally add the following sentence to the end of the response “Drugs intended for </w:t>
            </w:r>
            <w:proofErr w:type="spellStart"/>
            <w:r w:rsidRPr="005B5A04">
              <w:t>PrEP</w:t>
            </w:r>
            <w:proofErr w:type="spellEnd"/>
            <w:r w:rsidRPr="005B5A04">
              <w:t xml:space="preserve"> should be considered under the appropriate LTL duration category.”</w:t>
            </w:r>
          </w:p>
          <w:p w14:paraId="1F12100D" w14:textId="4B985085" w:rsidR="00B94C1B" w:rsidRPr="00B94C1B" w:rsidRDefault="007217F2" w:rsidP="00B94C1B">
            <w:pPr>
              <w:pStyle w:val="TabletextrowsAgency"/>
            </w:pPr>
            <w:r w:rsidRPr="00B94C1B">
              <w:t>In additio</w:t>
            </w:r>
            <w:r>
              <w:t>n</w:t>
            </w:r>
            <w:r w:rsidR="00B94C1B">
              <w:t xml:space="preserve">, </w:t>
            </w:r>
            <w:r w:rsidR="00B94C1B" w:rsidRPr="00B94C1B">
              <w:t xml:space="preserve">real world data should be used </w:t>
            </w:r>
            <w:r w:rsidR="007D2B03">
              <w:t>as supportive data</w:t>
            </w:r>
            <w:r w:rsidR="007D2B03" w:rsidRPr="00B94C1B">
              <w:t xml:space="preserve"> </w:t>
            </w:r>
            <w:r w:rsidR="00B94C1B" w:rsidRPr="00B94C1B">
              <w:t>in general to assess the effectiveness of such therapies in terms of longer survival more thoroughly.</w:t>
            </w:r>
          </w:p>
          <w:p w14:paraId="451719B9" w14:textId="12FE7C92" w:rsidR="007217F2" w:rsidRDefault="007217F2" w:rsidP="001E5F59">
            <w:pPr>
              <w:pStyle w:val="TabletextrowsAgency"/>
            </w:pPr>
          </w:p>
          <w:p w14:paraId="53122600" w14:textId="0A143A8E" w:rsidR="007217F2" w:rsidRPr="005B5A04" w:rsidRDefault="007217F2" w:rsidP="001E5F59">
            <w:pPr>
              <w:pStyle w:val="TabletextrowsAgency"/>
            </w:pPr>
          </w:p>
        </w:tc>
        <w:tc>
          <w:tcPr>
            <w:tcW w:w="448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7A48B7B9" w14:textId="77777777" w:rsidR="00EC5150" w:rsidRPr="00E85474" w:rsidRDefault="00EC5150" w:rsidP="007C1C9C">
            <w:pPr>
              <w:pStyle w:val="TabletextrowsAgency"/>
              <w:rPr>
                <w:highlight w:val="yellow"/>
              </w:rPr>
            </w:pPr>
          </w:p>
        </w:tc>
      </w:tr>
      <w:tr w:rsidR="00EC5150" w:rsidRPr="00B822FC" w14:paraId="637B71BD" w14:textId="77777777" w:rsidTr="496F04BF">
        <w:tc>
          <w:tcPr>
            <w:tcW w:w="187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7073A29E" w14:textId="03D967A9" w:rsidR="00EC5150" w:rsidRPr="005B5A04" w:rsidRDefault="00EC5150" w:rsidP="00EC5150">
            <w:pPr>
              <w:pStyle w:val="TabletextrowsAgency"/>
            </w:pPr>
            <w:r w:rsidRPr="005B5A04">
              <w:t>Q7.</w:t>
            </w:r>
            <w:r w:rsidR="00911C6E" w:rsidRPr="005B5A04">
              <w:t>5</w:t>
            </w:r>
          </w:p>
        </w:tc>
        <w:tc>
          <w:tcPr>
            <w:tcW w:w="207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1F3281AF" w14:textId="4BFCEAB4" w:rsidR="00EC5150" w:rsidRPr="005B5A04" w:rsidRDefault="00EC5150" w:rsidP="00EC5150">
            <w:pPr>
              <w:pStyle w:val="TabletextrowsAgency"/>
            </w:pPr>
            <w:r w:rsidRPr="005B5A04">
              <w:t>EFPIA</w:t>
            </w:r>
          </w:p>
        </w:tc>
        <w:tc>
          <w:tcPr>
            <w:tcW w:w="614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5C71105E" w14:textId="14861078" w:rsidR="00EC5150" w:rsidRPr="005B5A04" w:rsidRDefault="394FA0BA" w:rsidP="00EC5150">
            <w:pPr>
              <w:pStyle w:val="TabletextrowsAgency"/>
            </w:pPr>
            <w:r w:rsidRPr="005B5A04">
              <w:t>N/A</w:t>
            </w:r>
          </w:p>
          <w:p w14:paraId="6FA5DAD5" w14:textId="77777777" w:rsidR="00EC5150" w:rsidRPr="005B5A04" w:rsidRDefault="00EC5150" w:rsidP="00EC5150">
            <w:pPr>
              <w:pStyle w:val="TabletextrowsAgency"/>
            </w:pPr>
          </w:p>
        </w:tc>
        <w:tc>
          <w:tcPr>
            <w:tcW w:w="448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748ED61A" w14:textId="77777777" w:rsidR="00EC5150" w:rsidRDefault="00EC5150" w:rsidP="00EC5150">
            <w:pPr>
              <w:pStyle w:val="TabletextrowsAgency"/>
              <w:rPr>
                <w:color w:val="538135" w:themeColor="accent6" w:themeShade="BF"/>
              </w:rPr>
            </w:pPr>
          </w:p>
          <w:p w14:paraId="48C9096D" w14:textId="77777777" w:rsidR="00EC5150" w:rsidRPr="00561BA0" w:rsidRDefault="00EC5150" w:rsidP="00EC5150">
            <w:pPr>
              <w:pStyle w:val="TabletextrowsAgency"/>
            </w:pPr>
          </w:p>
        </w:tc>
      </w:tr>
      <w:tr w:rsidR="00EC5150" w:rsidRPr="00B822FC" w14:paraId="18171419" w14:textId="77777777" w:rsidTr="496F04BF">
        <w:tc>
          <w:tcPr>
            <w:tcW w:w="187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3FE6D05E" w14:textId="18038759" w:rsidR="00EC5150" w:rsidRPr="005B5A04" w:rsidRDefault="00EC5150" w:rsidP="00EC5150">
            <w:pPr>
              <w:pStyle w:val="TabletextrowsAgency"/>
            </w:pPr>
            <w:r w:rsidRPr="005B5A04">
              <w:lastRenderedPageBreak/>
              <w:t>Q</w:t>
            </w:r>
            <w:r w:rsidR="00911C6E" w:rsidRPr="005B5A04">
              <w:t>8.1</w:t>
            </w:r>
          </w:p>
        </w:tc>
        <w:tc>
          <w:tcPr>
            <w:tcW w:w="207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14D46E75" w14:textId="1195D9C9" w:rsidR="00EC5150" w:rsidRPr="005B5A04" w:rsidRDefault="00EC5150" w:rsidP="00EC5150">
            <w:pPr>
              <w:pStyle w:val="TabletextrowsAgency"/>
            </w:pPr>
            <w:r w:rsidRPr="005B5A04">
              <w:t>EFPIA</w:t>
            </w:r>
          </w:p>
        </w:tc>
        <w:tc>
          <w:tcPr>
            <w:tcW w:w="614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04D35DD6" w14:textId="044052F8" w:rsidR="30E723C3" w:rsidRPr="005B5A04" w:rsidRDefault="30E723C3" w:rsidP="6B4CE613">
            <w:pPr>
              <w:pStyle w:val="TabletextrowsAgency"/>
              <w:rPr>
                <w:i/>
                <w:iCs/>
              </w:rPr>
            </w:pPr>
            <w:r w:rsidRPr="005B5A04">
              <w:t xml:space="preserve">The employment of the 1% of TTC value is an expansion of the current scope of ICH M7, since it puts a stronger emphasis on analytical testing data in the </w:t>
            </w:r>
            <w:r w:rsidR="3CD97D71" w:rsidRPr="005B5A04">
              <w:t xml:space="preserve">final drug substance. </w:t>
            </w:r>
            <w:r w:rsidR="4F52A644" w:rsidRPr="005B5A04">
              <w:t>Excerpt from M7:</w:t>
            </w:r>
            <w:r w:rsidR="4F52A644" w:rsidRPr="005B5A04">
              <w:rPr>
                <w:i/>
                <w:iCs/>
              </w:rPr>
              <w:t xml:space="preserve"> A control strategy that relies on process controls in lieu of analytical testing can be appropriate if the process chemistry and process parameters that impact levels of mutagenic impurities are understood and the risk of an impurity residing in the final drug substance above the acceptable limit is determined to be negligible. In many cases justification of this control approach based on scientific principles alone is sufficient.</w:t>
            </w:r>
            <w:r w:rsidR="46553E36" w:rsidRPr="005B5A04">
              <w:rPr>
                <w:i/>
                <w:iCs/>
              </w:rPr>
              <w:t xml:space="preserve"> </w:t>
            </w:r>
          </w:p>
          <w:p w14:paraId="63B8AB91" w14:textId="759D7BF3" w:rsidR="46553E36" w:rsidRPr="005B5A04" w:rsidRDefault="46553E36" w:rsidP="6B4CE613">
            <w:pPr>
              <w:pStyle w:val="TabletextrowsAgency"/>
            </w:pPr>
            <w:r w:rsidRPr="005B5A04">
              <w:t>The answer also currently contradicts answer to Q8.2, which asks for ‘</w:t>
            </w:r>
            <w:r w:rsidRPr="005B5A04">
              <w:rPr>
                <w:i/>
                <w:iCs/>
              </w:rPr>
              <w:t>More detailed information on the calculation is expected when the predicted level of the impurity in the drug substance approaches the TTC</w:t>
            </w:r>
            <w:r w:rsidRPr="005B5A04">
              <w:t>.’</w:t>
            </w:r>
          </w:p>
          <w:p w14:paraId="0A08BEEA" w14:textId="43255CB0" w:rsidR="522C7499" w:rsidRPr="005B5A04" w:rsidRDefault="522C7499" w:rsidP="431D5D7A">
            <w:pPr>
              <w:pStyle w:val="TabletextrowsAgency"/>
            </w:pPr>
            <w:r w:rsidRPr="005B5A04">
              <w:t>If the 1% is maintained TTC should be replaced by AI.</w:t>
            </w:r>
            <w:r w:rsidR="3BBB11C2" w:rsidRPr="005B5A04">
              <w:t xml:space="preserve"> Additionally, a reference to the Barber 2017 paper similar to Q8.2 is considered helpful.</w:t>
            </w:r>
          </w:p>
          <w:p w14:paraId="4EB36390" w14:textId="14AFB5B3" w:rsidR="6B4CE613" w:rsidRPr="005B5A04" w:rsidRDefault="6B4CE613" w:rsidP="6B4CE613">
            <w:pPr>
              <w:pStyle w:val="TabletextrowsAgency"/>
            </w:pPr>
          </w:p>
          <w:p w14:paraId="259C8507" w14:textId="53B2D840" w:rsidR="3CD97D71" w:rsidRPr="005B5A04" w:rsidRDefault="3CD97D71" w:rsidP="0B646BE2">
            <w:pPr>
              <w:pStyle w:val="TabletextrowsAgency"/>
            </w:pPr>
            <w:r w:rsidRPr="005B5A04">
              <w:t>Consider modifying the answer in the following ways:</w:t>
            </w:r>
          </w:p>
          <w:p w14:paraId="1BB75BF0" w14:textId="0141051D" w:rsidR="3CD97D71" w:rsidRPr="005B5A04" w:rsidRDefault="3CD97D71" w:rsidP="0B646BE2">
            <w:pPr>
              <w:pStyle w:val="TabletextrowsAgency"/>
            </w:pPr>
          </w:p>
          <w:p w14:paraId="3AAC8B9D" w14:textId="3294C9B9" w:rsidR="3CD97D71" w:rsidRPr="005B5A04" w:rsidRDefault="06F7E70A" w:rsidP="0B646BE2">
            <w:pPr>
              <w:pStyle w:val="TabletextrowsAgency"/>
            </w:pPr>
            <w:r w:rsidRPr="005B5A04">
              <w:t>Option A (removal of 1%</w:t>
            </w:r>
            <w:r w:rsidR="2E737A45" w:rsidRPr="005B5A04">
              <w:t>, and reference to Barber paper</w:t>
            </w:r>
            <w:r w:rsidRPr="005B5A04">
              <w:t xml:space="preserve">): Use of Option 4 </w:t>
            </w:r>
            <w:r w:rsidRPr="005B5A04">
              <w:rPr>
                <w:b/>
                <w:bCs/>
              </w:rPr>
              <w:t>(Barber et al 2017)</w:t>
            </w:r>
            <w:r w:rsidRPr="005B5A04">
              <w:t xml:space="preserve"> is appropriate when a mutagenic impurity is demonstrated to have a negligible risk of being present in the final drug substance</w:t>
            </w:r>
            <w:r w:rsidR="002F0435" w:rsidRPr="005B5A04">
              <w:t>.</w:t>
            </w:r>
            <w:r w:rsidRPr="005B5A04">
              <w:t xml:space="preserve"> The risk assessment can be based on scientific principles alone... </w:t>
            </w:r>
          </w:p>
          <w:p w14:paraId="04019CAA" w14:textId="5DDE41F9" w:rsidR="3CD97D71" w:rsidRPr="005B5A04" w:rsidRDefault="3CD97D71" w:rsidP="0B646BE2">
            <w:pPr>
              <w:pStyle w:val="TabletextrowsAgency"/>
            </w:pPr>
          </w:p>
          <w:p w14:paraId="0A1A2DEF" w14:textId="7DD58F8E" w:rsidR="3CD97D71" w:rsidRPr="005B5A04" w:rsidRDefault="304A716D" w:rsidP="0B646BE2">
            <w:pPr>
              <w:pStyle w:val="TabletextrowsAgency"/>
            </w:pPr>
            <w:r w:rsidRPr="005B5A04">
              <w:lastRenderedPageBreak/>
              <w:t>Option B (clarification that both calculation and analytical data are acceptable</w:t>
            </w:r>
            <w:r w:rsidR="2F329305" w:rsidRPr="005B5A04">
              <w:t>, and reference to Barber paper</w:t>
            </w:r>
            <w:r w:rsidRPr="005B5A04">
              <w:t>): Use of Option 4 (</w:t>
            </w:r>
            <w:r w:rsidRPr="005B5A04">
              <w:rPr>
                <w:b/>
                <w:bCs/>
              </w:rPr>
              <w:t>Barber et al 2017</w:t>
            </w:r>
            <w:r w:rsidRPr="005B5A04">
              <w:t xml:space="preserve">) is appropriate when a mutagenic impurity is demonstrated to have a negligible risk of being present in the final drug substance (e.g., 1% </w:t>
            </w:r>
            <w:r w:rsidR="3F46DE18" w:rsidRPr="005B5A04">
              <w:t xml:space="preserve">of </w:t>
            </w:r>
            <w:r w:rsidR="3F46DE18" w:rsidRPr="005B5A04">
              <w:rPr>
                <w:b/>
                <w:bCs/>
              </w:rPr>
              <w:t>AI</w:t>
            </w:r>
            <w:r w:rsidRPr="005B5A04">
              <w:rPr>
                <w:b/>
                <w:bCs/>
              </w:rPr>
              <w:t>, verified via data or science-based evaluation or calculation</w:t>
            </w:r>
            <w:r w:rsidRPr="005B5A04">
              <w:t>). The risk assessment can be based on scientific principles alone...</w:t>
            </w:r>
          </w:p>
          <w:p w14:paraId="690BD74C" w14:textId="21EA19CF" w:rsidR="3CD97D71" w:rsidRPr="005B5A04" w:rsidRDefault="3CD97D71" w:rsidP="0B646BE2">
            <w:pPr>
              <w:pStyle w:val="TabletextrowsAgency"/>
            </w:pPr>
          </w:p>
          <w:p w14:paraId="7EF63009" w14:textId="09402B9B" w:rsidR="3CD97D71" w:rsidRPr="005B5A04" w:rsidRDefault="3CD97D71" w:rsidP="0B646BE2">
            <w:pPr>
              <w:pStyle w:val="TabletextrowsAgency"/>
            </w:pPr>
            <w:r w:rsidRPr="005B5A04">
              <w:t xml:space="preserve">Option </w:t>
            </w:r>
            <w:r w:rsidR="3E7C8188" w:rsidRPr="005B5A04">
              <w:t>C</w:t>
            </w:r>
            <w:r w:rsidRPr="005B5A04">
              <w:t xml:space="preserve"> (changed wording</w:t>
            </w:r>
            <w:r w:rsidR="3F9D8731" w:rsidRPr="005B5A04">
              <w:t xml:space="preserve"> to predicted and include reference to Barber paper</w:t>
            </w:r>
            <w:r w:rsidRPr="005B5A04">
              <w:t xml:space="preserve">): Use of Option 4 </w:t>
            </w:r>
            <w:r w:rsidR="108F6EDC" w:rsidRPr="005B5A04">
              <w:t>(</w:t>
            </w:r>
            <w:r w:rsidR="108F6EDC" w:rsidRPr="005B5A04">
              <w:rPr>
                <w:b/>
                <w:bCs/>
              </w:rPr>
              <w:t>Barber et al 2017</w:t>
            </w:r>
            <w:r w:rsidR="108F6EDC" w:rsidRPr="005B5A04">
              <w:t xml:space="preserve">) </w:t>
            </w:r>
            <w:r w:rsidRPr="005B5A04">
              <w:t xml:space="preserve">is appropriate when a mutagenic impurity is </w:t>
            </w:r>
            <w:r w:rsidRPr="005B5A04">
              <w:rPr>
                <w:strike/>
                <w:sz w:val="16"/>
                <w:szCs w:val="16"/>
              </w:rPr>
              <w:t>demonstrated</w:t>
            </w:r>
            <w:r w:rsidRPr="005B5A04">
              <w:t xml:space="preserve"> </w:t>
            </w:r>
            <w:r w:rsidR="7F105319" w:rsidRPr="005B5A04">
              <w:rPr>
                <w:b/>
                <w:bCs/>
              </w:rPr>
              <w:t>predicted</w:t>
            </w:r>
            <w:r w:rsidR="7F105319" w:rsidRPr="005B5A04">
              <w:t xml:space="preserve"> </w:t>
            </w:r>
            <w:r w:rsidRPr="005B5A04">
              <w:t xml:space="preserve">to have a negligible risk of being present in the final drug substance (e.g., 1% </w:t>
            </w:r>
            <w:r w:rsidR="3168C305" w:rsidRPr="005B5A04">
              <w:t xml:space="preserve">of </w:t>
            </w:r>
            <w:r w:rsidR="3168C305" w:rsidRPr="005B5A04">
              <w:rPr>
                <w:b/>
                <w:bCs/>
              </w:rPr>
              <w:t>AI</w:t>
            </w:r>
            <w:r w:rsidRPr="005B5A04">
              <w:t>). The risk assessment can be based on scientific principles alone</w:t>
            </w:r>
            <w:r w:rsidR="584CB813" w:rsidRPr="005B5A04">
              <w:t>....</w:t>
            </w:r>
          </w:p>
          <w:p w14:paraId="7E0DFB14" w14:textId="02EDD6A5" w:rsidR="0B646BE2" w:rsidRPr="005B5A04" w:rsidRDefault="0B646BE2" w:rsidP="0B646BE2">
            <w:pPr>
              <w:pStyle w:val="TabletextrowsAgency"/>
            </w:pPr>
          </w:p>
          <w:p w14:paraId="349E3CD8" w14:textId="77777777" w:rsidR="00EC5150" w:rsidRPr="005B5A04" w:rsidRDefault="00EC5150" w:rsidP="6B4CE613">
            <w:pPr>
              <w:pStyle w:val="TabletextrowsAgency"/>
            </w:pPr>
          </w:p>
        </w:tc>
        <w:tc>
          <w:tcPr>
            <w:tcW w:w="448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3591091B" w14:textId="5775DEB7" w:rsidR="00EC5150" w:rsidRPr="00561BA0" w:rsidRDefault="00EC5150" w:rsidP="00EC5150">
            <w:pPr>
              <w:pStyle w:val="TabletextrowsAgency"/>
            </w:pPr>
          </w:p>
        </w:tc>
      </w:tr>
      <w:tr w:rsidR="00EC5150" w:rsidRPr="00B822FC" w14:paraId="06F7E0C2" w14:textId="77777777" w:rsidTr="496F04BF">
        <w:tc>
          <w:tcPr>
            <w:tcW w:w="187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59904316" w14:textId="4FA7C2C0" w:rsidR="00EC5150" w:rsidRPr="007C1C9C" w:rsidRDefault="00EC5150" w:rsidP="00EC5150">
            <w:pPr>
              <w:pStyle w:val="TabletextrowsAgency"/>
            </w:pPr>
            <w:r w:rsidRPr="007C1C9C">
              <w:t>Q</w:t>
            </w:r>
            <w:r w:rsidR="00911C6E" w:rsidRPr="007C1C9C">
              <w:t>8.2</w:t>
            </w:r>
          </w:p>
        </w:tc>
        <w:tc>
          <w:tcPr>
            <w:tcW w:w="207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0E6A878D" w14:textId="49222C5B" w:rsidR="00EC5150" w:rsidRPr="007C1C9C" w:rsidRDefault="00EC5150" w:rsidP="00EC5150">
            <w:pPr>
              <w:pStyle w:val="TabletextrowsAgency"/>
            </w:pPr>
            <w:r w:rsidRPr="007C1C9C">
              <w:t>EFPIA</w:t>
            </w:r>
          </w:p>
        </w:tc>
        <w:tc>
          <w:tcPr>
            <w:tcW w:w="614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27DED68F" w14:textId="33E4FA7A" w:rsidR="00EC5150" w:rsidRPr="00370140" w:rsidRDefault="34921C97" w:rsidP="002F0435">
            <w:pPr>
              <w:pStyle w:val="TabletextrowsAgency"/>
            </w:pPr>
            <w:r w:rsidRPr="00370140">
              <w:t>N/A</w:t>
            </w:r>
          </w:p>
        </w:tc>
        <w:tc>
          <w:tcPr>
            <w:tcW w:w="448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34F96759" w14:textId="77777777" w:rsidR="00EC5150" w:rsidRDefault="00EC5150" w:rsidP="00EC5150">
            <w:pPr>
              <w:pStyle w:val="TabletextrowsAgency"/>
            </w:pPr>
          </w:p>
          <w:p w14:paraId="2AD9F77B" w14:textId="4E83E51D" w:rsidR="002F0435" w:rsidRPr="00561BA0" w:rsidRDefault="002F0435" w:rsidP="00EC5150">
            <w:pPr>
              <w:pStyle w:val="TabletextrowsAgency"/>
            </w:pPr>
          </w:p>
        </w:tc>
      </w:tr>
      <w:tr w:rsidR="00EC5150" w:rsidRPr="00B822FC" w14:paraId="1DC9EAF8" w14:textId="77777777" w:rsidTr="496F04BF">
        <w:trPr>
          <w:trHeight w:val="285"/>
        </w:trPr>
        <w:tc>
          <w:tcPr>
            <w:tcW w:w="187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5B577EE4" w14:textId="2BEF4B5A" w:rsidR="00EC5150" w:rsidRPr="007C1C9C" w:rsidRDefault="00EC5150" w:rsidP="00EC5150">
            <w:pPr>
              <w:pStyle w:val="TabletextrowsAgency"/>
            </w:pPr>
            <w:r w:rsidRPr="007C1C9C">
              <w:t>Q</w:t>
            </w:r>
            <w:r w:rsidR="00911C6E" w:rsidRPr="007C1C9C">
              <w:t>8.3</w:t>
            </w:r>
          </w:p>
        </w:tc>
        <w:tc>
          <w:tcPr>
            <w:tcW w:w="207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46ABCB6B" w14:textId="076D42E0" w:rsidR="00EC5150" w:rsidRPr="007C1C9C" w:rsidRDefault="00EC5150" w:rsidP="00EC5150">
            <w:pPr>
              <w:pStyle w:val="TabletextrowsAgency"/>
            </w:pPr>
            <w:r w:rsidRPr="007C1C9C">
              <w:t>EFPIA</w:t>
            </w:r>
          </w:p>
        </w:tc>
        <w:tc>
          <w:tcPr>
            <w:tcW w:w="614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1637FBA1" w14:textId="0AC34954" w:rsidR="00EC5150" w:rsidRPr="00370140" w:rsidRDefault="5A748BC3" w:rsidP="431D5D7A">
            <w:pPr>
              <w:pStyle w:val="TabletextrowsAgency"/>
              <w:rPr>
                <w:rFonts w:ascii="Calibri" w:hAnsi="Calibri" w:cs="Calibri"/>
                <w:sz w:val="22"/>
                <w:szCs w:val="22"/>
              </w:rPr>
            </w:pPr>
            <w:r w:rsidRPr="00370140">
              <w:rPr>
                <w:rFonts w:ascii="Calibri" w:hAnsi="Calibri" w:cs="Calibri"/>
                <w:sz w:val="22"/>
                <w:szCs w:val="22"/>
              </w:rPr>
              <w:t>Reword the first sentence of the answer to question 8.3 for consistency with the original ICH M7 text.  There is widespread misunderstanding of the meaning of the term "potential mutagenic impurity" across industry.  Some define "potential mutagenic impurity" as "may be present" and others define "potential mutagenic impurity" as "may be mutagenic".  It would be helpful to not use the phrase "potential mutagenic impurities" in the Q&amp;A.</w:t>
            </w:r>
          </w:p>
          <w:p w14:paraId="22CDDE5A" w14:textId="7FC42D89" w:rsidR="00EC5150" w:rsidRPr="00370140" w:rsidRDefault="7BDABF0C" w:rsidP="431D5D7A">
            <w:pPr>
              <w:spacing w:before="60"/>
              <w:rPr>
                <w:rFonts w:ascii="Calibri" w:eastAsia="Times New Roman" w:hAnsi="Calibri" w:cs="Calibri"/>
                <w:sz w:val="22"/>
                <w:szCs w:val="22"/>
              </w:rPr>
            </w:pPr>
            <w:r w:rsidRPr="00370140">
              <w:rPr>
                <w:rFonts w:ascii="Calibri" w:eastAsia="Times New Roman" w:hAnsi="Calibri" w:cs="Calibri"/>
                <w:sz w:val="22"/>
                <w:szCs w:val="22"/>
              </w:rPr>
              <w:lastRenderedPageBreak/>
              <w:t>The appropriateness of the use of Option 4 will depend on more situations than what is described, especially for “less reactive” impurities. For instance, there will be cases where the TTC is high and where data has been generated supporting an Option 4. Equally, there will be instances where Option 4 for “reactive” materials is appropriately justified without experimental data when the purge prediction is substantiated by some data.</w:t>
            </w:r>
          </w:p>
          <w:p w14:paraId="7BBE435A" w14:textId="21E1253D" w:rsidR="00EC5150" w:rsidRPr="00370140" w:rsidRDefault="00B3033B" w:rsidP="431D5D7A">
            <w:pPr>
              <w:pStyle w:val="TabletextrowsAgency"/>
              <w:rPr>
                <w:rFonts w:ascii="Calibri" w:hAnsi="Calibri" w:cs="Calibri"/>
                <w:sz w:val="22"/>
                <w:szCs w:val="22"/>
              </w:rPr>
            </w:pPr>
            <w:r w:rsidRPr="00370140">
              <w:rPr>
                <w:rFonts w:ascii="Calibri" w:hAnsi="Calibri" w:cs="Calibri"/>
                <w:sz w:val="22"/>
                <w:szCs w:val="22"/>
              </w:rPr>
              <w:t xml:space="preserve">Proposal for the answer: </w:t>
            </w:r>
            <w:r w:rsidR="20F7146B" w:rsidRPr="00370140">
              <w:rPr>
                <w:rFonts w:ascii="Calibri" w:hAnsi="Calibri" w:cs="Calibri"/>
                <w:sz w:val="22"/>
                <w:szCs w:val="22"/>
              </w:rPr>
              <w:t xml:space="preserve">For potential mutagenic impurities (class 1, 2 or 3) introduced or generated in the last synthetic step, given the proximity to the final product, </w:t>
            </w:r>
            <w:proofErr w:type="gramStart"/>
            <w:r w:rsidR="20F7146B" w:rsidRPr="00370140">
              <w:rPr>
                <w:rFonts w:ascii="Calibri" w:hAnsi="Calibri" w:cs="Calibri"/>
                <w:sz w:val="22"/>
                <w:szCs w:val="22"/>
              </w:rPr>
              <w:t>Option</w:t>
            </w:r>
            <w:proofErr w:type="gramEnd"/>
            <w:r w:rsidR="20F7146B" w:rsidRPr="00370140">
              <w:rPr>
                <w:rFonts w:ascii="Calibri" w:hAnsi="Calibri" w:cs="Calibri"/>
                <w:sz w:val="22"/>
                <w:szCs w:val="22"/>
              </w:rPr>
              <w:t xml:space="preserve"> 1 is the preferred control strategy.</w:t>
            </w:r>
            <w:r w:rsidR="7E4056A8" w:rsidRPr="00370140">
              <w:rPr>
                <w:rFonts w:ascii="Calibri" w:hAnsi="Calibri" w:cs="Calibri"/>
                <w:sz w:val="22"/>
                <w:szCs w:val="22"/>
              </w:rPr>
              <w:t xml:space="preserve">   </w:t>
            </w:r>
            <w:r w:rsidR="512EFD88" w:rsidRPr="00370140">
              <w:rPr>
                <w:rFonts w:ascii="Calibri" w:hAnsi="Calibri" w:cs="Calibri"/>
                <w:sz w:val="22"/>
                <w:szCs w:val="22"/>
              </w:rPr>
              <w:t>However, Option 2, 3 and 4 control strategies may be possible when appropriately justified. The control strategy may be influenced by the presence of a subsequent recrystallisation step, a highly effective purification operation (e.g., chromatography), the reactivity (e.g. highly reactive reagents such as thionyl chloride) and physical characteristics of the impurity (e.g. low boiling point such as methyl chloride) and the availability of data (analytical data or substantiation of the purge arguments). In most cases, the justification of an Option 4 control strategy solely based on prediction is not considered sufficient unless a detailed justification is presented for a very large predicted purge ratio (&gt; 1000-fold).</w:t>
            </w:r>
          </w:p>
          <w:p w14:paraId="47A79280" w14:textId="2F19F85C" w:rsidR="00EC5150" w:rsidRPr="00370140" w:rsidRDefault="00EC5150" w:rsidP="431D5D7A">
            <w:pPr>
              <w:pStyle w:val="TabletextrowsAgency"/>
              <w:rPr>
                <w:rFonts w:ascii="Calibri" w:hAnsi="Calibri" w:cs="Calibri"/>
                <w:sz w:val="22"/>
                <w:szCs w:val="22"/>
              </w:rPr>
            </w:pPr>
          </w:p>
        </w:tc>
        <w:tc>
          <w:tcPr>
            <w:tcW w:w="448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02AC0F0C" w14:textId="77777777" w:rsidR="00EC5150" w:rsidRPr="00561BA0" w:rsidRDefault="00EC5150" w:rsidP="002F0435">
            <w:pPr>
              <w:pStyle w:val="TabletextrowsAgency"/>
            </w:pPr>
          </w:p>
        </w:tc>
      </w:tr>
      <w:tr w:rsidR="00EC5150" w:rsidRPr="00B822FC" w14:paraId="4093909B" w14:textId="77777777" w:rsidTr="496F04BF">
        <w:tc>
          <w:tcPr>
            <w:tcW w:w="187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1F593602" w14:textId="3219AEDC" w:rsidR="00EC5150" w:rsidRPr="007C1C9C" w:rsidRDefault="00EC5150" w:rsidP="00EC5150">
            <w:pPr>
              <w:pStyle w:val="TabletextrowsAgency"/>
            </w:pPr>
            <w:r w:rsidRPr="007C1C9C">
              <w:t>Q</w:t>
            </w:r>
            <w:r w:rsidR="00911C6E" w:rsidRPr="007C1C9C">
              <w:t>8.4</w:t>
            </w:r>
          </w:p>
        </w:tc>
        <w:tc>
          <w:tcPr>
            <w:tcW w:w="207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3C79A35F" w14:textId="250B0D76" w:rsidR="00EC5150" w:rsidRPr="007C1C9C" w:rsidRDefault="00EC5150" w:rsidP="00EC5150">
            <w:pPr>
              <w:pStyle w:val="TabletextrowsAgency"/>
            </w:pPr>
            <w:r w:rsidRPr="007C1C9C">
              <w:t>EFPIA</w:t>
            </w:r>
          </w:p>
        </w:tc>
        <w:tc>
          <w:tcPr>
            <w:tcW w:w="614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34103DBC" w14:textId="4376C497" w:rsidR="00EC5150" w:rsidRPr="00370140" w:rsidRDefault="62BAAD0D" w:rsidP="00EC5150">
            <w:pPr>
              <w:pStyle w:val="TabletextrowsAgency"/>
            </w:pPr>
            <w:r w:rsidRPr="00370140">
              <w:t xml:space="preserve">While position of the EWG is understood by experts it does not immediately appear to follow a science and </w:t>
            </w:r>
            <w:r w:rsidR="3AA5F842" w:rsidRPr="00370140">
              <w:t>risk-based</w:t>
            </w:r>
            <w:r w:rsidRPr="00370140">
              <w:t xml:space="preserve"> logic. Consider modifying the response to better explain why</w:t>
            </w:r>
            <w:r w:rsidR="2587A7A9" w:rsidRPr="00370140">
              <w:t xml:space="preserve"> skip-</w:t>
            </w:r>
            <w:r w:rsidR="2587A7A9" w:rsidRPr="00370140">
              <w:lastRenderedPageBreak/>
              <w:t xml:space="preserve">testing is permissible for Option 1, but </w:t>
            </w:r>
            <w:proofErr w:type="gramStart"/>
            <w:r w:rsidR="2587A7A9" w:rsidRPr="00370140">
              <w:t>non permissible</w:t>
            </w:r>
            <w:proofErr w:type="gramEnd"/>
            <w:r w:rsidR="2587A7A9" w:rsidRPr="00370140">
              <w:t xml:space="preserve"> for Options 2 and 3.</w:t>
            </w:r>
          </w:p>
          <w:p w14:paraId="217D59A4" w14:textId="77777777" w:rsidR="00EC5150" w:rsidRPr="00370140" w:rsidRDefault="00EC5150" w:rsidP="00EC5150">
            <w:pPr>
              <w:autoSpaceDE w:val="0"/>
              <w:autoSpaceDN w:val="0"/>
              <w:adjustRightInd w:val="0"/>
              <w:rPr>
                <w:rFonts w:ascii="Calibri" w:hAnsi="Calibri" w:cs="Calibri"/>
                <w:sz w:val="22"/>
                <w:szCs w:val="22"/>
              </w:rPr>
            </w:pPr>
          </w:p>
        </w:tc>
        <w:tc>
          <w:tcPr>
            <w:tcW w:w="448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60E4B228" w14:textId="77777777" w:rsidR="00EC5150" w:rsidRPr="00561BA0" w:rsidRDefault="00EC5150" w:rsidP="00EC5150">
            <w:pPr>
              <w:pStyle w:val="TabletextrowsAgency"/>
            </w:pPr>
          </w:p>
        </w:tc>
      </w:tr>
      <w:tr w:rsidR="0016463A" w:rsidRPr="00B822FC" w14:paraId="64826EEA" w14:textId="77777777" w:rsidTr="496F04BF">
        <w:tc>
          <w:tcPr>
            <w:tcW w:w="187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2554BECF" w14:textId="33BA7E88" w:rsidR="0016463A" w:rsidRPr="007C1C9C" w:rsidRDefault="0016463A" w:rsidP="0016463A">
            <w:pPr>
              <w:pStyle w:val="TabletextrowsAgency"/>
            </w:pPr>
            <w:r w:rsidRPr="007C1C9C">
              <w:t>Q8.5</w:t>
            </w:r>
          </w:p>
        </w:tc>
        <w:tc>
          <w:tcPr>
            <w:tcW w:w="207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3F28E2DE" w14:textId="149505E5" w:rsidR="0016463A" w:rsidRPr="007C1C9C" w:rsidRDefault="0016463A" w:rsidP="0016463A">
            <w:pPr>
              <w:pStyle w:val="TabletextrowsAgency"/>
            </w:pPr>
            <w:r w:rsidRPr="007C1C9C">
              <w:t>EFPIA</w:t>
            </w:r>
          </w:p>
        </w:tc>
        <w:tc>
          <w:tcPr>
            <w:tcW w:w="614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5ECCAF8F" w14:textId="17CAC280" w:rsidR="0016463A" w:rsidRPr="00370140" w:rsidRDefault="22821104" w:rsidP="431D5D7A">
            <w:pPr>
              <w:pStyle w:val="TabletextrowsAgency"/>
            </w:pPr>
            <w:r w:rsidRPr="00370140">
              <w:t>The answer appears to rule out periodic verification testing. Additionally, it appears viable per ICH M7 to change the control strategy through a post market</w:t>
            </w:r>
            <w:r w:rsidR="22EADD9B" w:rsidRPr="00370140">
              <w:t xml:space="preserve">ing variation. This should be recognized in the response. </w:t>
            </w:r>
          </w:p>
          <w:p w14:paraId="778B707C" w14:textId="088153AF" w:rsidR="1F5276F3" w:rsidRPr="00370140" w:rsidRDefault="1F5276F3" w:rsidP="431D5D7A">
            <w:pPr>
              <w:pStyle w:val="TabletextrowsAgency"/>
            </w:pPr>
            <w:r w:rsidRPr="00370140">
              <w:t>Proposed changes to answer:</w:t>
            </w:r>
          </w:p>
          <w:p w14:paraId="03D3B344" w14:textId="47C11952" w:rsidR="1F5276F3" w:rsidRPr="00370140" w:rsidRDefault="1F5276F3" w:rsidP="431D5D7A">
            <w:pPr>
              <w:pStyle w:val="TabletextrowsAgency"/>
            </w:pPr>
            <w:r w:rsidRPr="00370140">
              <w:rPr>
                <w:strike/>
              </w:rPr>
              <w:t>No.</w:t>
            </w:r>
            <w:r w:rsidRPr="00370140">
              <w:t xml:space="preserve"> Batch data alone demonstrating that a potential mutagenic impurity is consistently &lt;30% TTC is not sufficient to justify no testing of that impurity </w:t>
            </w:r>
            <w:r w:rsidRPr="00370140">
              <w:rPr>
                <w:rFonts w:ascii="Calibri" w:hAnsi="Calibri" w:cs="Calibri"/>
                <w:b/>
                <w:bCs/>
                <w:sz w:val="22"/>
                <w:szCs w:val="22"/>
              </w:rPr>
              <w:t xml:space="preserve">but periodic testing of Option 1 controls may be appropriate per </w:t>
            </w:r>
            <w:proofErr w:type="gramStart"/>
            <w:r w:rsidRPr="00370140">
              <w:rPr>
                <w:rFonts w:ascii="Calibri" w:hAnsi="Calibri" w:cs="Calibri"/>
                <w:b/>
                <w:bCs/>
                <w:sz w:val="22"/>
                <w:szCs w:val="22"/>
              </w:rPr>
              <w:t>8.4</w:t>
            </w:r>
            <w:r w:rsidRPr="00370140">
              <w:rPr>
                <w:rFonts w:ascii="Calibri" w:hAnsi="Calibri" w:cs="Calibri"/>
                <w:sz w:val="22"/>
                <w:szCs w:val="22"/>
              </w:rPr>
              <w:t>.</w:t>
            </w:r>
            <w:r w:rsidRPr="00370140">
              <w:t>.</w:t>
            </w:r>
            <w:proofErr w:type="gramEnd"/>
            <w:r w:rsidRPr="00370140">
              <w:t xml:space="preserve"> Options 1, 2, and 3 should test either at release or upstream in the process. However, if there is negligible risk of the impurity to be present in the drug substance, an Option 4 control strategy may be considered with appropriate justification. </w:t>
            </w:r>
            <w:r w:rsidR="420835C4" w:rsidRPr="00370140">
              <w:t xml:space="preserve"> </w:t>
            </w:r>
            <w:r w:rsidRPr="00370140">
              <w:t>See question 8.1 and 8.2 for recommendations on supporting an Option 4 control strategy</w:t>
            </w:r>
            <w:r w:rsidR="5EFE59A8" w:rsidRPr="00370140">
              <w:t>.</w:t>
            </w:r>
            <w:r w:rsidR="5EFE59A8" w:rsidRPr="00370140">
              <w:rPr>
                <w:b/>
                <w:bCs/>
              </w:rPr>
              <w:t xml:space="preserve"> A post-approval </w:t>
            </w:r>
            <w:proofErr w:type="gramStart"/>
            <w:r w:rsidR="5EFE59A8" w:rsidRPr="00370140">
              <w:rPr>
                <w:b/>
                <w:bCs/>
              </w:rPr>
              <w:t>change</w:t>
            </w:r>
            <w:proofErr w:type="gramEnd"/>
            <w:r w:rsidR="5EFE59A8" w:rsidRPr="00370140">
              <w:rPr>
                <w:b/>
                <w:bCs/>
              </w:rPr>
              <w:t xml:space="preserve"> in the control strategy from Options 1, 2 or 3 to Option 4 may be considered through a variation.</w:t>
            </w:r>
          </w:p>
          <w:p w14:paraId="5A62DDE4" w14:textId="3814F8EB" w:rsidR="431D5D7A" w:rsidRPr="00370140" w:rsidRDefault="431D5D7A" w:rsidP="431D5D7A">
            <w:pPr>
              <w:pStyle w:val="TabletextrowsAgency"/>
            </w:pPr>
          </w:p>
          <w:p w14:paraId="1E94260F" w14:textId="77777777" w:rsidR="0016463A" w:rsidRPr="00370140" w:rsidRDefault="0016463A" w:rsidP="0016463A">
            <w:pPr>
              <w:rPr>
                <w:rFonts w:ascii="Arial" w:hAnsi="Arial" w:cs="Arial"/>
                <w:sz w:val="20"/>
                <w:szCs w:val="20"/>
              </w:rPr>
            </w:pPr>
          </w:p>
        </w:tc>
        <w:tc>
          <w:tcPr>
            <w:tcW w:w="448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2BCED503" w14:textId="77777777" w:rsidR="0016463A" w:rsidRDefault="0016463A" w:rsidP="0016463A">
            <w:pPr>
              <w:pStyle w:val="TabletextrowsAgency"/>
              <w:rPr>
                <w:color w:val="538135" w:themeColor="accent6" w:themeShade="BF"/>
              </w:rPr>
            </w:pPr>
          </w:p>
          <w:p w14:paraId="3484C4E6" w14:textId="77777777" w:rsidR="0016463A" w:rsidRPr="00561BA0" w:rsidRDefault="0016463A" w:rsidP="0016463A">
            <w:pPr>
              <w:pStyle w:val="TabletextrowsAgency"/>
            </w:pPr>
          </w:p>
        </w:tc>
      </w:tr>
      <w:tr w:rsidR="0016463A" w:rsidRPr="00B822FC" w14:paraId="07F7367E" w14:textId="77777777" w:rsidTr="496F04BF">
        <w:tc>
          <w:tcPr>
            <w:tcW w:w="187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56C40473" w14:textId="030AB63C" w:rsidR="0016463A" w:rsidRDefault="0016463A" w:rsidP="0016463A">
            <w:pPr>
              <w:pStyle w:val="TabletextrowsAgency"/>
            </w:pPr>
            <w:r>
              <w:rPr>
                <w:color w:val="538135" w:themeColor="accent6" w:themeShade="BF"/>
              </w:rPr>
              <w:t>Q8.6</w:t>
            </w:r>
          </w:p>
        </w:tc>
        <w:tc>
          <w:tcPr>
            <w:tcW w:w="207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38EB9F59" w14:textId="3D2D4F75" w:rsidR="0016463A" w:rsidRDefault="0016463A" w:rsidP="0016463A">
            <w:pPr>
              <w:pStyle w:val="TabletextrowsAgency"/>
            </w:pPr>
            <w:r>
              <w:rPr>
                <w:color w:val="538135" w:themeColor="accent6" w:themeShade="BF"/>
              </w:rPr>
              <w:t>EFPIA</w:t>
            </w:r>
          </w:p>
        </w:tc>
        <w:tc>
          <w:tcPr>
            <w:tcW w:w="614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1DDE398D" w14:textId="43CFE8B8" w:rsidR="0016463A" w:rsidRPr="00370140" w:rsidRDefault="6EC4BB30" w:rsidP="002F0435">
            <w:pPr>
              <w:pStyle w:val="TabletextrowsAgency"/>
            </w:pPr>
            <w:r w:rsidRPr="00370140">
              <w:t xml:space="preserve"> The current text is too restrictive. During process development, purge studies may be conducted before finalization of the commercial manufacturing process, using process conditions emulating those of the final process.</w:t>
            </w:r>
          </w:p>
          <w:p w14:paraId="3BA74C91" w14:textId="7798867D" w:rsidR="0016463A" w:rsidRPr="00370140" w:rsidRDefault="6EC4BB30" w:rsidP="002F0435">
            <w:pPr>
              <w:pStyle w:val="TabletextrowsAgency"/>
            </w:pPr>
            <w:r w:rsidRPr="00370140">
              <w:t xml:space="preserve"> </w:t>
            </w:r>
          </w:p>
          <w:p w14:paraId="7F924585" w14:textId="7FFFF972" w:rsidR="0016463A" w:rsidRPr="00370140" w:rsidRDefault="6EC4BB30" w:rsidP="002F0435">
            <w:pPr>
              <w:pStyle w:val="TabletextrowsAgency"/>
            </w:pPr>
            <w:r w:rsidRPr="00370140">
              <w:lastRenderedPageBreak/>
              <w:t xml:space="preserve">Proposed change: </w:t>
            </w:r>
          </w:p>
          <w:p w14:paraId="424CDE91" w14:textId="1AAC1E15" w:rsidR="0016463A" w:rsidRDefault="6EC4BB30" w:rsidP="002F0435">
            <w:pPr>
              <w:pStyle w:val="TabletextrowsAgency"/>
              <w:rPr>
                <w:rFonts w:ascii="Arial" w:hAnsi="Arial" w:cs="Arial"/>
                <w:color w:val="000000"/>
                <w:sz w:val="20"/>
                <w:szCs w:val="20"/>
              </w:rPr>
            </w:pPr>
            <w:r w:rsidRPr="00370140">
              <w:t>Lab scale experiments are typically sufficient when generating measured purge factors or when defining in-process control points. These studies should employ conditions representative of the final process described in the application and should (…)</w:t>
            </w:r>
          </w:p>
        </w:tc>
        <w:tc>
          <w:tcPr>
            <w:tcW w:w="448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1A033439" w14:textId="77777777" w:rsidR="0016463A" w:rsidRPr="00561BA0" w:rsidRDefault="0016463A" w:rsidP="0016463A">
            <w:pPr>
              <w:pStyle w:val="TabletextrowsAgency"/>
            </w:pPr>
          </w:p>
        </w:tc>
      </w:tr>
      <w:tr w:rsidR="0016463A" w:rsidRPr="00B822FC" w14:paraId="634A1133" w14:textId="77777777" w:rsidTr="496F04BF">
        <w:tc>
          <w:tcPr>
            <w:tcW w:w="187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0973F251" w14:textId="125304FB" w:rsidR="0016463A" w:rsidRDefault="0016463A" w:rsidP="0016463A">
            <w:pPr>
              <w:pStyle w:val="TabletextrowsAgency"/>
            </w:pPr>
            <w:r>
              <w:rPr>
                <w:color w:val="538135" w:themeColor="accent6" w:themeShade="BF"/>
              </w:rPr>
              <w:t>Q9.1</w:t>
            </w:r>
          </w:p>
        </w:tc>
        <w:tc>
          <w:tcPr>
            <w:tcW w:w="207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4023B86F" w14:textId="11B5DC24" w:rsidR="0016463A" w:rsidRDefault="0016463A" w:rsidP="0016463A">
            <w:pPr>
              <w:pStyle w:val="TabletextrowsAgency"/>
            </w:pPr>
            <w:r>
              <w:rPr>
                <w:color w:val="538135" w:themeColor="accent6" w:themeShade="BF"/>
              </w:rPr>
              <w:t>EFPIA</w:t>
            </w:r>
          </w:p>
        </w:tc>
        <w:tc>
          <w:tcPr>
            <w:tcW w:w="614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50528A91" w14:textId="798AC089" w:rsidR="2FC5E19F" w:rsidRDefault="2FC5E19F" w:rsidP="496F04BF">
            <w:pPr>
              <w:pStyle w:val="TabletextrowsAgency"/>
            </w:pPr>
            <w:r w:rsidRPr="496F04BF">
              <w:rPr>
                <w:color w:val="538135" w:themeColor="accent6" w:themeShade="BF"/>
              </w:rPr>
              <w:t>NA</w:t>
            </w:r>
          </w:p>
          <w:p w14:paraId="35675E34" w14:textId="77777777" w:rsidR="0016463A" w:rsidRDefault="0016463A" w:rsidP="0016463A">
            <w:pPr>
              <w:rPr>
                <w:rFonts w:ascii="Arial" w:hAnsi="Arial" w:cs="Arial"/>
                <w:color w:val="000000"/>
                <w:sz w:val="20"/>
                <w:szCs w:val="20"/>
              </w:rPr>
            </w:pPr>
          </w:p>
        </w:tc>
        <w:tc>
          <w:tcPr>
            <w:tcW w:w="448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5995CF99" w14:textId="77777777" w:rsidR="0016463A" w:rsidRPr="00561BA0" w:rsidRDefault="0016463A" w:rsidP="002F0435">
            <w:pPr>
              <w:pStyle w:val="TabletextrowsAgency"/>
            </w:pPr>
          </w:p>
        </w:tc>
      </w:tr>
      <w:tr w:rsidR="0063227C" w:rsidRPr="00B822FC" w14:paraId="50971AF0" w14:textId="77777777" w:rsidTr="496F04BF">
        <w:tc>
          <w:tcPr>
            <w:tcW w:w="187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63520A88" w14:textId="00C296BF" w:rsidR="0063227C" w:rsidRDefault="0063227C" w:rsidP="0016463A">
            <w:pPr>
              <w:pStyle w:val="TabletextrowsAgency"/>
              <w:rPr>
                <w:color w:val="538135" w:themeColor="accent6" w:themeShade="BF"/>
              </w:rPr>
            </w:pPr>
            <w:r>
              <w:rPr>
                <w:color w:val="538135" w:themeColor="accent6" w:themeShade="BF"/>
              </w:rPr>
              <w:t>Q9.2</w:t>
            </w:r>
          </w:p>
        </w:tc>
        <w:tc>
          <w:tcPr>
            <w:tcW w:w="207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5D6AEAF5" w14:textId="1A0F2B9F" w:rsidR="0063227C" w:rsidRDefault="0063227C" w:rsidP="0016463A">
            <w:pPr>
              <w:pStyle w:val="TabletextrowsAgency"/>
              <w:rPr>
                <w:color w:val="538135" w:themeColor="accent6" w:themeShade="BF"/>
              </w:rPr>
            </w:pPr>
            <w:r>
              <w:rPr>
                <w:color w:val="538135" w:themeColor="accent6" w:themeShade="BF"/>
              </w:rPr>
              <w:t>EFPIA</w:t>
            </w:r>
          </w:p>
        </w:tc>
        <w:tc>
          <w:tcPr>
            <w:tcW w:w="614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02D922BB" w14:textId="77777777" w:rsidR="0063227C" w:rsidRPr="00370140" w:rsidRDefault="0063227C" w:rsidP="0063227C">
            <w:pPr>
              <w:pStyle w:val="TabletextrowsAgency"/>
              <w:rPr>
                <w:rFonts w:eastAsia="Verdana"/>
              </w:rPr>
            </w:pPr>
            <w:r w:rsidRPr="00370140">
              <w:rPr>
                <w:rFonts w:eastAsia="Verdana"/>
              </w:rPr>
              <w:t xml:space="preserve">Some impurities are not controlled by TTC there the following editorial change is request. </w:t>
            </w:r>
          </w:p>
          <w:p w14:paraId="5F160DA3" w14:textId="77777777" w:rsidR="0063227C" w:rsidRPr="00370140" w:rsidRDefault="0063227C" w:rsidP="0063227C">
            <w:pPr>
              <w:pStyle w:val="TabletextrowsAgency"/>
              <w:rPr>
                <w:rFonts w:eastAsia="Verdana"/>
              </w:rPr>
            </w:pPr>
            <w:r w:rsidRPr="00370140">
              <w:rPr>
                <w:rFonts w:eastAsia="Verdana"/>
              </w:rPr>
              <w:t>In the following paragraph a change should be made:</w:t>
            </w:r>
          </w:p>
          <w:p w14:paraId="77D6660C" w14:textId="77777777" w:rsidR="00B056E7" w:rsidRDefault="0063227C" w:rsidP="00B056E7">
            <w:pPr>
              <w:pStyle w:val="TabletextrowsAgency"/>
              <w:rPr>
                <w:rFonts w:eastAsia="Verdana"/>
              </w:rPr>
            </w:pPr>
            <w:r w:rsidRPr="00370140">
              <w:rPr>
                <w:rFonts w:eastAsia="Verdana"/>
              </w:rPr>
              <w:t>The maximum daily dose, acceptable limit (i.e. TTC, AI, PDE), and proposed duration of treatment can also be noted.</w:t>
            </w:r>
          </w:p>
          <w:p w14:paraId="1CADD537" w14:textId="77777777" w:rsidR="00B056E7" w:rsidRDefault="00B056E7" w:rsidP="00B056E7">
            <w:pPr>
              <w:pStyle w:val="TabletextrowsAgency"/>
              <w:rPr>
                <w:rFonts w:eastAsia="Verdana"/>
              </w:rPr>
            </w:pPr>
          </w:p>
          <w:p w14:paraId="61CEFD68" w14:textId="7715DC35" w:rsidR="0063227C" w:rsidRPr="00370140" w:rsidRDefault="0063227C" w:rsidP="00B056E7">
            <w:pPr>
              <w:pStyle w:val="TabletextrowsAgency"/>
              <w:rPr>
                <w:rFonts w:cs="Arial"/>
              </w:rPr>
            </w:pPr>
            <w:r w:rsidRPr="00370140">
              <w:rPr>
                <w:rFonts w:cs="Arial"/>
              </w:rPr>
              <w:t>For marketing applications, the answer notes that in Module 4, (Q)SAR reports should be included to support the risk assessment and control strategy. In M7(R1), this did not seem to be required, but rather “</w:t>
            </w:r>
            <w:r w:rsidRPr="00370140">
              <w:rPr>
                <w:rFonts w:eastAsia="Arial" w:cs="Arial"/>
              </w:rPr>
              <w:t>results and description of in silico (Q)SAR systems used, and as appropriate, supporting information to arrive at the overall conclusion for Class 4 and 5 impurities.”</w:t>
            </w:r>
            <w:r w:rsidRPr="00370140">
              <w:rPr>
                <w:rFonts w:cs="Arial"/>
              </w:rPr>
              <w:t xml:space="preserve">  </w:t>
            </w:r>
          </w:p>
          <w:p w14:paraId="57E32EA2" w14:textId="77777777" w:rsidR="00B056E7" w:rsidRDefault="00B056E7" w:rsidP="0063227C">
            <w:pPr>
              <w:pStyle w:val="TabletextrowsAgency"/>
              <w:rPr>
                <w:rFonts w:cs="Arial"/>
              </w:rPr>
            </w:pPr>
          </w:p>
          <w:p w14:paraId="5CDC7B50" w14:textId="53D9717A" w:rsidR="0063227C" w:rsidRPr="00370140" w:rsidRDefault="0063227C" w:rsidP="0063227C">
            <w:pPr>
              <w:pStyle w:val="TabletextrowsAgency"/>
              <w:rPr>
                <w:rFonts w:cs="Arial"/>
              </w:rPr>
            </w:pPr>
            <w:r w:rsidRPr="00370140">
              <w:rPr>
                <w:rFonts w:cs="Arial"/>
              </w:rPr>
              <w:t xml:space="preserve">We suggest clarifying whether this is a new requirement that Q(SAR) reports need to be included for all predictions, or if an </w:t>
            </w:r>
            <w:proofErr w:type="gramStart"/>
            <w:r w:rsidRPr="00370140">
              <w:rPr>
                <w:rFonts w:cs="Arial"/>
              </w:rPr>
              <w:t>in silico</w:t>
            </w:r>
            <w:proofErr w:type="gramEnd"/>
            <w:r w:rsidRPr="00370140">
              <w:rPr>
                <w:rFonts w:cs="Arial"/>
              </w:rPr>
              <w:t xml:space="preserve"> report is included to support the overall conclusion, that it should be included in Module 4.</w:t>
            </w:r>
          </w:p>
          <w:p w14:paraId="1173818F" w14:textId="77777777" w:rsidR="0063227C" w:rsidRPr="00370140" w:rsidRDefault="0063227C" w:rsidP="0063227C">
            <w:pPr>
              <w:pStyle w:val="TabletextrowsAgency"/>
              <w:rPr>
                <w:rFonts w:cs="Times New Roman"/>
                <w:lang w:val="en-US" w:eastAsia="en-US"/>
              </w:rPr>
            </w:pPr>
            <w:r w:rsidRPr="00370140">
              <w:lastRenderedPageBreak/>
              <w:t xml:space="preserve">Listing of all class 4 and 5 impurities in the </w:t>
            </w:r>
            <w:r w:rsidRPr="00370140">
              <w:rPr>
                <w:rFonts w:cs="Times New Roman"/>
                <w:lang w:val="en-US" w:eastAsia="en-US"/>
              </w:rPr>
              <w:t xml:space="preserve">3.2.S.3.2 ICH M7 hazard assessment table can be excessive, especially </w:t>
            </w:r>
            <w:r w:rsidRPr="00370140">
              <w:t>in clinical development where frequent changes in impurities occur</w:t>
            </w:r>
            <w:r w:rsidRPr="00370140">
              <w:rPr>
                <w:rFonts w:cs="Times New Roman"/>
                <w:lang w:val="en-US" w:eastAsia="en-US"/>
              </w:rPr>
              <w:t xml:space="preserve">. </w:t>
            </w:r>
          </w:p>
          <w:p w14:paraId="173E0818" w14:textId="77777777" w:rsidR="0063227C" w:rsidRPr="00370140" w:rsidRDefault="0063227C" w:rsidP="0063227C">
            <w:pPr>
              <w:pStyle w:val="TabletextrowsAgency"/>
            </w:pPr>
            <w:r w:rsidRPr="00370140">
              <w:rPr>
                <w:rFonts w:cs="Times New Roman"/>
                <w:lang w:val="en-US" w:eastAsia="en-US"/>
              </w:rPr>
              <w:t xml:space="preserve">Propose to modify text to request listing class 1-3 in QSAR table and providing a link to e.g. (Q)SAR report for class 4 and 5 in Module </w:t>
            </w:r>
            <w:proofErr w:type="gramStart"/>
            <w:r w:rsidRPr="00370140">
              <w:rPr>
                <w:rFonts w:cs="Times New Roman"/>
                <w:lang w:val="en-US" w:eastAsia="en-US"/>
              </w:rPr>
              <w:t xml:space="preserve">4 </w:t>
            </w:r>
            <w:r w:rsidRPr="00370140">
              <w:t>?</w:t>
            </w:r>
            <w:proofErr w:type="gramEnd"/>
            <w:r w:rsidRPr="00370140">
              <w:t xml:space="preserve"> It would be helpful that the table in </w:t>
            </w:r>
            <w:r w:rsidRPr="00370140">
              <w:rPr>
                <w:rFonts w:cs="Times New Roman"/>
                <w:lang w:val="en-US" w:eastAsia="en-US"/>
              </w:rPr>
              <w:t xml:space="preserve">3.2.S.3.2 </w:t>
            </w:r>
            <w:r w:rsidRPr="00370140">
              <w:t xml:space="preserve">includes only class 1-3. A statement would be given that all other impurities were negative in the (Q)SAR prediction using system x (version 1) and system y (version 2) or negative Ames data are available. </w:t>
            </w:r>
          </w:p>
          <w:p w14:paraId="41C93C96" w14:textId="77777777" w:rsidR="0063227C" w:rsidRPr="00370140" w:rsidRDefault="0063227C" w:rsidP="0063227C">
            <w:pPr>
              <w:pStyle w:val="TabletextrowsAgency"/>
            </w:pPr>
          </w:p>
          <w:p w14:paraId="6026255A" w14:textId="77777777" w:rsidR="0063227C" w:rsidRPr="00370140" w:rsidRDefault="0063227C" w:rsidP="0063227C">
            <w:pPr>
              <w:pStyle w:val="TabletextrowsAgency"/>
            </w:pPr>
            <w:r w:rsidRPr="00370140">
              <w:t>The following advice is included on where to include information on mutagenic impurities in the Quality section of the dossier.  ‘In Module 3, the ICH M7 risk assessment and control strategy should be provided in detail. This type of information is often placed in section 3.2.S.3.2 Impurities; however, it is sometimes placed in other CTD locations per ICH M4Q guidance. A table summary of the ICH M7 hazard assessment and ICH M7 impurity control strategy is recommended to improve clarity.’  In order to allow efficient and effective management of a dossier throughout the product lifecycle for a product with global reach, inclusion of ‘control strategy’ information in a ‘descriptive’ module such as S.3.2 is unwise.  Locating ‘control strategy’ information in other modules such as S.2.3 or S.4.5 is generally a better strategy.  A more general reference to the ICH M4Q Q&amp;A document where the location of impurity information is discussed in more detail would be helpful in this Q&amp;A document.</w:t>
            </w:r>
          </w:p>
          <w:p w14:paraId="3273C5E3" w14:textId="77777777" w:rsidR="0063227C" w:rsidRPr="00370140" w:rsidRDefault="0063227C" w:rsidP="0063227C">
            <w:pPr>
              <w:pStyle w:val="TabletextrowsAgency"/>
            </w:pPr>
          </w:p>
          <w:p w14:paraId="1E7B674A" w14:textId="77777777" w:rsidR="0063227C" w:rsidRPr="00370140" w:rsidRDefault="0063227C" w:rsidP="0063227C">
            <w:pPr>
              <w:pStyle w:val="TabletextrowsAgency"/>
            </w:pPr>
            <w:r w:rsidRPr="00370140">
              <w:t>Proposed change (if any):</w:t>
            </w:r>
          </w:p>
          <w:p w14:paraId="7F3642D8" w14:textId="77777777" w:rsidR="0063227C" w:rsidRPr="00370140" w:rsidRDefault="0063227C" w:rsidP="0063227C">
            <w:pPr>
              <w:pStyle w:val="TabletextrowsAgency"/>
            </w:pPr>
            <w:r w:rsidRPr="00370140">
              <w:t xml:space="preserve">‘In Module 3, the ICH M7 risk assessment and control strategy should be provided in detail. Impurity information should be provided in CTD locations as per ICH M4Q and ICH M4Q Q&amp;A document guidance (See section 3 ‘Associated information located in different sections’) </w:t>
            </w:r>
            <w:proofErr w:type="spellStart"/>
            <w:r w:rsidRPr="00370140">
              <w:t>eg.</w:t>
            </w:r>
            <w:proofErr w:type="spellEnd"/>
            <w:r w:rsidRPr="00370140">
              <w:t xml:space="preserve"> S.3.2 and S.4.5 etc.  A table summary of the ICH M7 hazard assessment and ICH M7 impurity control strategy is recommended to improve clarity.’</w:t>
            </w:r>
          </w:p>
          <w:p w14:paraId="69C493E4" w14:textId="5FAF44D0" w:rsidR="0063227C" w:rsidRDefault="0063227C" w:rsidP="0063227C">
            <w:pPr>
              <w:pStyle w:val="TabletextrowsAgency"/>
              <w:rPr>
                <w:color w:val="538135" w:themeColor="accent6" w:themeShade="BF"/>
              </w:rPr>
            </w:pPr>
            <w:r w:rsidRPr="00370140">
              <w:rPr>
                <w:rFonts w:eastAsia="Verdana"/>
              </w:rPr>
              <w:t>Referencing specific sections to submit information and the need for hyperlinks is overly prescriptive. Suggest to replace request for hyperlinks with cross-reference.</w:t>
            </w:r>
          </w:p>
        </w:tc>
        <w:tc>
          <w:tcPr>
            <w:tcW w:w="448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356A7855" w14:textId="02E921FC" w:rsidR="0063227C" w:rsidRDefault="0063227C" w:rsidP="0016463A">
            <w:pPr>
              <w:pStyle w:val="TabletextrowsAgency"/>
              <w:rPr>
                <w:color w:val="538135" w:themeColor="accent6" w:themeShade="BF"/>
              </w:rPr>
            </w:pPr>
          </w:p>
        </w:tc>
      </w:tr>
    </w:tbl>
    <w:p w14:paraId="32CADBA3" w14:textId="77777777" w:rsidR="00670CD1" w:rsidRPr="00B822FC" w:rsidRDefault="00670CD1">
      <w:pPr>
        <w:pStyle w:val="TableFigurenoteAgency"/>
      </w:pPr>
      <w:r w:rsidRPr="00B822FC">
        <w:lastRenderedPageBreak/>
        <w:t>Please add more rows if needed.</w:t>
      </w:r>
    </w:p>
    <w:sectPr w:rsidR="00670CD1" w:rsidRPr="00B822FC">
      <w:pgSz w:w="16838" w:h="11906" w:orient="landscape" w:code="9"/>
      <w:pgMar w:top="1418" w:right="1134" w:bottom="1418" w:left="1134" w:header="737" w:footer="73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C2847F6" w16cex:dateUtc="2020-09-17T11: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7CEF4" w14:textId="77777777" w:rsidR="00A065A4" w:rsidRDefault="00A065A4">
      <w:r>
        <w:separator/>
      </w:r>
    </w:p>
  </w:endnote>
  <w:endnote w:type="continuationSeparator" w:id="0">
    <w:p w14:paraId="54844B88" w14:textId="77777777" w:rsidR="00A065A4" w:rsidRDefault="00A065A4">
      <w:r>
        <w:continuationSeparator/>
      </w:r>
    </w:p>
  </w:endnote>
  <w:endnote w:type="continuationNotice" w:id="1">
    <w:p w14:paraId="652506A5" w14:textId="77777777" w:rsidR="00A065A4" w:rsidRDefault="00A06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9590"/>
      <w:gridCol w:w="4980"/>
    </w:tblGrid>
    <w:tr w:rsidR="001E5F59" w:rsidRPr="00A44B87" w14:paraId="04725C47" w14:textId="77777777" w:rsidTr="00366785">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14:paraId="6DC6F358" w14:textId="77777777" w:rsidR="001E5F59" w:rsidRPr="00A44B87" w:rsidRDefault="001E5F59">
          <w:pPr>
            <w:pStyle w:val="FooterAgency"/>
          </w:pPr>
        </w:p>
      </w:tc>
    </w:tr>
    <w:tr w:rsidR="001E5F59" w:rsidRPr="00A44B87" w14:paraId="02C376AC" w14:textId="77777777" w:rsidTr="00366785">
      <w:trPr>
        <w:trHeight w:val="355"/>
      </w:trPr>
      <w:tc>
        <w:tcPr>
          <w:tcW w:w="3291" w:type="pct"/>
          <w:shd w:val="clear" w:color="auto" w:fill="auto"/>
          <w:tcMar>
            <w:left w:w="0" w:type="dxa"/>
            <w:right w:w="0" w:type="dxa"/>
          </w:tcMar>
        </w:tcPr>
        <w:p w14:paraId="324AB316" w14:textId="77777777" w:rsidR="001E5F59" w:rsidRPr="00A44B87" w:rsidRDefault="001E5F59">
          <w:pPr>
            <w:pStyle w:val="FooterAgency"/>
          </w:pPr>
        </w:p>
      </w:tc>
      <w:tc>
        <w:tcPr>
          <w:tcW w:w="1709" w:type="pct"/>
          <w:shd w:val="clear" w:color="auto" w:fill="auto"/>
          <w:tcMar>
            <w:left w:w="0" w:type="dxa"/>
            <w:right w:w="0" w:type="dxa"/>
          </w:tcMar>
        </w:tcPr>
        <w:p w14:paraId="76C51BAB" w14:textId="77777777" w:rsidR="001E5F59" w:rsidRPr="00A44B87" w:rsidRDefault="001E5F59">
          <w:pPr>
            <w:pStyle w:val="FooterAgency"/>
          </w:pPr>
        </w:p>
      </w:tc>
    </w:tr>
    <w:tr w:rsidR="001E5F59" w:rsidRPr="00A44B87" w14:paraId="69DD74FC" w14:textId="77777777" w:rsidTr="00366785">
      <w:tc>
        <w:tcPr>
          <w:tcW w:w="3291" w:type="pct"/>
          <w:shd w:val="clear" w:color="auto" w:fill="auto"/>
          <w:tcMar>
            <w:left w:w="0" w:type="dxa"/>
            <w:right w:w="0" w:type="dxa"/>
          </w:tcMar>
        </w:tcPr>
        <w:p w14:paraId="1FAC483A" w14:textId="77777777" w:rsidR="001E5F59" w:rsidRPr="00A44B87" w:rsidRDefault="001E5F59">
          <w:pPr>
            <w:pStyle w:val="FooterAgency"/>
          </w:pPr>
        </w:p>
      </w:tc>
      <w:tc>
        <w:tcPr>
          <w:tcW w:w="1709" w:type="pct"/>
          <w:shd w:val="clear" w:color="auto" w:fill="auto"/>
          <w:tcMar>
            <w:left w:w="0" w:type="dxa"/>
            <w:right w:w="0" w:type="dxa"/>
          </w:tcMar>
        </w:tcPr>
        <w:p w14:paraId="2F5BA533" w14:textId="77777777" w:rsidR="001E5F59" w:rsidRPr="00A44B87" w:rsidRDefault="001E5F59" w:rsidP="00366785">
          <w:pPr>
            <w:pStyle w:val="PagenumberAgency"/>
            <w:ind w:right="210"/>
          </w:pPr>
          <w:r w:rsidRPr="006E62FC">
            <w:fldChar w:fldCharType="begin"/>
          </w:r>
          <w:r w:rsidRPr="006E62FC">
            <w:instrText xml:space="preserve"> PAGE </w:instrText>
          </w:r>
          <w:r w:rsidRPr="006E62FC">
            <w:fldChar w:fldCharType="separate"/>
          </w:r>
          <w:r>
            <w:rPr>
              <w:noProof/>
            </w:rPr>
            <w:t>2</w:t>
          </w:r>
          <w:r w:rsidRPr="006E62FC">
            <w:fldChar w:fldCharType="end"/>
          </w:r>
          <w:r w:rsidRPr="006E62FC">
            <w:t>/</w:t>
          </w:r>
          <w:r w:rsidRPr="006E62FC">
            <w:fldChar w:fldCharType="begin"/>
          </w:r>
          <w:r w:rsidRPr="006E62FC">
            <w:instrText xml:space="preserve"> NUMPAGES </w:instrText>
          </w:r>
          <w:r w:rsidRPr="006E62FC">
            <w:fldChar w:fldCharType="separate"/>
          </w:r>
          <w:r>
            <w:rPr>
              <w:noProof/>
            </w:rPr>
            <w:t>3</w:t>
          </w:r>
          <w:r w:rsidRPr="006E62FC">
            <w:fldChar w:fldCharType="end"/>
          </w:r>
        </w:p>
      </w:tc>
    </w:tr>
  </w:tbl>
  <w:p w14:paraId="6FDDD11E" w14:textId="77777777" w:rsidR="001E5F59" w:rsidRDefault="001E5F59">
    <w:pPr>
      <w:pStyle w:val="FooterAgency"/>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1E0" w:firstRow="1" w:lastRow="1" w:firstColumn="1" w:lastColumn="1" w:noHBand="0" w:noVBand="0"/>
    </w:tblPr>
    <w:tblGrid>
      <w:gridCol w:w="6206"/>
      <w:gridCol w:w="3207"/>
    </w:tblGrid>
    <w:tr w:rsidR="001E5F59" w14:paraId="3FD99403" w14:textId="77777777" w:rsidTr="496F04BF">
      <w:tc>
        <w:tcPr>
          <w:tcW w:w="9413" w:type="dxa"/>
          <w:gridSpan w:val="2"/>
          <w:tcBorders>
            <w:top w:val="single" w:sz="2" w:space="0" w:color="auto"/>
            <w:left w:val="nil"/>
            <w:bottom w:val="nil"/>
            <w:right w:val="nil"/>
          </w:tcBorders>
          <w:tcMar>
            <w:top w:w="0" w:type="dxa"/>
            <w:left w:w="0" w:type="dxa"/>
            <w:bottom w:w="0" w:type="dxa"/>
            <w:right w:w="0" w:type="dxa"/>
          </w:tcMar>
          <w:vAlign w:val="bottom"/>
        </w:tcPr>
        <w:p w14:paraId="42FEB103" w14:textId="77777777" w:rsidR="001E5F59" w:rsidRDefault="001E5F59" w:rsidP="00366785">
          <w:pPr>
            <w:pStyle w:val="FooterAgency"/>
          </w:pPr>
        </w:p>
      </w:tc>
    </w:tr>
    <w:tr w:rsidR="001E5F59" w14:paraId="3157B228" w14:textId="77777777" w:rsidTr="496F04BF">
      <w:trPr>
        <w:trHeight w:hRule="exact" w:val="198"/>
      </w:trPr>
      <w:tc>
        <w:tcPr>
          <w:tcW w:w="6206" w:type="dxa"/>
          <w:tcMar>
            <w:top w:w="0" w:type="dxa"/>
            <w:left w:w="0" w:type="dxa"/>
            <w:bottom w:w="0" w:type="dxa"/>
            <w:right w:w="0" w:type="dxa"/>
          </w:tcMar>
          <w:vAlign w:val="bottom"/>
          <w:hideMark/>
        </w:tcPr>
        <w:p w14:paraId="1910125B" w14:textId="77777777" w:rsidR="001E5F59" w:rsidRDefault="001E5F59" w:rsidP="00366785">
          <w:pPr>
            <w:pStyle w:val="FooterAgency"/>
          </w:pPr>
          <w:r>
            <w:t xml:space="preserve">30 Churchill Place </w:t>
          </w:r>
          <w:r>
            <w:rPr>
              <w:rStyle w:val="FooterblueAgencyCharChar"/>
            </w:rPr>
            <w:t>●</w:t>
          </w:r>
          <w:r>
            <w:t xml:space="preserve"> Canary Wharf </w:t>
          </w:r>
          <w:r>
            <w:rPr>
              <w:rStyle w:val="FooterblueAgencyCharChar"/>
            </w:rPr>
            <w:t>●</w:t>
          </w:r>
          <w:r>
            <w:t xml:space="preserve"> London E14 5EU </w:t>
          </w:r>
          <w:r>
            <w:rPr>
              <w:rStyle w:val="FooterblueAgencyCharChar"/>
            </w:rPr>
            <w:t>●</w:t>
          </w:r>
          <w:r>
            <w:t xml:space="preserve"> United Kingdom</w:t>
          </w:r>
        </w:p>
      </w:tc>
      <w:tc>
        <w:tcPr>
          <w:tcW w:w="3207" w:type="dxa"/>
          <w:vMerge w:val="restart"/>
          <w:tcMar>
            <w:top w:w="0" w:type="dxa"/>
            <w:left w:w="0" w:type="dxa"/>
            <w:bottom w:w="0" w:type="dxa"/>
            <w:right w:w="0" w:type="dxa"/>
          </w:tcMar>
          <w:vAlign w:val="bottom"/>
          <w:hideMark/>
        </w:tcPr>
        <w:tbl>
          <w:tblPr>
            <w:tblW w:w="0" w:type="auto"/>
            <w:jc w:val="right"/>
            <w:tblLayout w:type="fixed"/>
            <w:tblLook w:val="01E0" w:firstRow="1" w:lastRow="1" w:firstColumn="1" w:lastColumn="1" w:noHBand="0" w:noVBand="0"/>
          </w:tblPr>
          <w:tblGrid>
            <w:gridCol w:w="2478"/>
            <w:gridCol w:w="709"/>
          </w:tblGrid>
          <w:tr w:rsidR="001E5F59" w14:paraId="3B8B741A" w14:textId="77777777" w:rsidTr="496F04BF">
            <w:trPr>
              <w:trHeight w:hRule="exact" w:val="180"/>
              <w:tblHeader/>
              <w:jc w:val="right"/>
            </w:trPr>
            <w:tc>
              <w:tcPr>
                <w:tcW w:w="2478" w:type="dxa"/>
                <w:vMerge w:val="restart"/>
                <w:vAlign w:val="bottom"/>
                <w:hideMark/>
              </w:tcPr>
              <w:p w14:paraId="189CE9AE" w14:textId="77777777" w:rsidR="001E5F59" w:rsidRDefault="001E5F59" w:rsidP="00366785">
                <w:pPr>
                  <w:pStyle w:val="FooterAgency"/>
                  <w:jc w:val="right"/>
                </w:pPr>
                <w:r>
                  <w:rPr>
                    <w:sz w:val="11"/>
                    <w:szCs w:val="11"/>
                  </w:rPr>
                  <w:t xml:space="preserve">An agency of the European Union  </w:t>
                </w:r>
              </w:p>
            </w:tc>
            <w:tc>
              <w:tcPr>
                <w:tcW w:w="709" w:type="dxa"/>
                <w:vMerge w:val="restart"/>
                <w:tcMar>
                  <w:top w:w="0" w:type="dxa"/>
                  <w:left w:w="108" w:type="dxa"/>
                  <w:bottom w:w="0" w:type="dxa"/>
                  <w:right w:w="6" w:type="dxa"/>
                </w:tcMar>
                <w:vAlign w:val="bottom"/>
                <w:hideMark/>
              </w:tcPr>
              <w:p w14:paraId="56BD69AA" w14:textId="0E1D7F74" w:rsidR="001E5F59" w:rsidRDefault="001E5F59" w:rsidP="00366785">
                <w:pPr>
                  <w:pStyle w:val="FooterAgency"/>
                  <w:jc w:val="right"/>
                </w:pPr>
                <w:r>
                  <w:rPr>
                    <w:noProof/>
                  </w:rPr>
                  <w:drawing>
                    <wp:inline distT="0" distB="0" distL="0" distR="0" wp14:anchorId="375596A3" wp14:editId="1B81B207">
                      <wp:extent cx="371475" cy="257175"/>
                      <wp:effectExtent l="0" t="0" r="0" b="0"/>
                      <wp:docPr id="4" name="Picture 1"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71475" cy="257175"/>
                              </a:xfrm>
                              <a:prstGeom prst="rect">
                                <a:avLst/>
                              </a:prstGeom>
                            </pic:spPr>
                          </pic:pic>
                        </a:graphicData>
                      </a:graphic>
                    </wp:inline>
                  </w:drawing>
                </w:r>
              </w:p>
            </w:tc>
          </w:tr>
          <w:tr w:rsidR="001E5F59" w14:paraId="4256527F" w14:textId="77777777" w:rsidTr="496F04BF">
            <w:trPr>
              <w:trHeight w:hRule="exact" w:val="390"/>
              <w:jc w:val="right"/>
            </w:trPr>
            <w:tc>
              <w:tcPr>
                <w:tcW w:w="2478" w:type="dxa"/>
                <w:vMerge/>
                <w:vAlign w:val="center"/>
                <w:hideMark/>
              </w:tcPr>
              <w:p w14:paraId="6FF1DF03" w14:textId="77777777" w:rsidR="001E5F59" w:rsidRDefault="001E5F59" w:rsidP="00366785">
                <w:pPr>
                  <w:rPr>
                    <w:rFonts w:eastAsia="Verdana"/>
                    <w:color w:val="6D6F71"/>
                    <w:sz w:val="14"/>
                    <w:szCs w:val="14"/>
                    <w:lang w:eastAsia="en-GB"/>
                  </w:rPr>
                </w:pPr>
              </w:p>
            </w:tc>
            <w:tc>
              <w:tcPr>
                <w:tcW w:w="709" w:type="dxa"/>
                <w:vMerge/>
                <w:vAlign w:val="center"/>
                <w:hideMark/>
              </w:tcPr>
              <w:p w14:paraId="2D056090" w14:textId="77777777" w:rsidR="001E5F59" w:rsidRDefault="001E5F59" w:rsidP="00366785">
                <w:pPr>
                  <w:rPr>
                    <w:rFonts w:eastAsia="Verdana"/>
                    <w:color w:val="6D6F71"/>
                    <w:sz w:val="14"/>
                    <w:szCs w:val="14"/>
                    <w:lang w:eastAsia="en-GB"/>
                  </w:rPr>
                </w:pPr>
              </w:p>
            </w:tc>
          </w:tr>
        </w:tbl>
        <w:p w14:paraId="04A7B858" w14:textId="77777777" w:rsidR="001E5F59" w:rsidRDefault="001E5F59" w:rsidP="00366785">
          <w:pPr>
            <w:pStyle w:val="FooterAgency"/>
            <w:widowControl w:val="0"/>
            <w:adjustRightInd w:val="0"/>
            <w:jc w:val="right"/>
          </w:pPr>
        </w:p>
      </w:tc>
    </w:tr>
    <w:tr w:rsidR="001E5F59" w14:paraId="7FFF821B" w14:textId="77777777" w:rsidTr="496F04BF">
      <w:trPr>
        <w:trHeight w:val="390"/>
      </w:trPr>
      <w:tc>
        <w:tcPr>
          <w:tcW w:w="6206" w:type="dxa"/>
          <w:tcMar>
            <w:top w:w="0" w:type="dxa"/>
            <w:left w:w="0" w:type="dxa"/>
            <w:bottom w:w="0" w:type="dxa"/>
            <w:right w:w="0" w:type="dxa"/>
          </w:tcMar>
          <w:vAlign w:val="bottom"/>
          <w:hideMark/>
        </w:tcPr>
        <w:tbl>
          <w:tblPr>
            <w:tblW w:w="0" w:type="auto"/>
            <w:tblLayout w:type="fixed"/>
            <w:tblCellMar>
              <w:left w:w="0" w:type="dxa"/>
              <w:right w:w="0" w:type="dxa"/>
            </w:tblCellMar>
            <w:tblLook w:val="01E0" w:firstRow="1" w:lastRow="1" w:firstColumn="1" w:lastColumn="1" w:noHBand="0" w:noVBand="0"/>
          </w:tblPr>
          <w:tblGrid>
            <w:gridCol w:w="840"/>
            <w:gridCol w:w="1648"/>
            <w:gridCol w:w="726"/>
            <w:gridCol w:w="2767"/>
          </w:tblGrid>
          <w:tr w:rsidR="001E5F59" w14:paraId="412FE426" w14:textId="77777777" w:rsidTr="00366785">
            <w:trPr>
              <w:trHeight w:hRule="exact" w:val="198"/>
            </w:trPr>
            <w:tc>
              <w:tcPr>
                <w:tcW w:w="840" w:type="dxa"/>
                <w:vAlign w:val="bottom"/>
                <w:hideMark/>
              </w:tcPr>
              <w:p w14:paraId="0C5A6620" w14:textId="77777777" w:rsidR="001E5F59" w:rsidRDefault="001E5F59" w:rsidP="00366785">
                <w:pPr>
                  <w:pStyle w:val="FooterblueAgency"/>
                </w:pPr>
                <w:r>
                  <w:t>Telephone</w:t>
                </w:r>
              </w:p>
            </w:tc>
            <w:tc>
              <w:tcPr>
                <w:tcW w:w="1648" w:type="dxa"/>
                <w:vAlign w:val="bottom"/>
                <w:hideMark/>
              </w:tcPr>
              <w:p w14:paraId="030C98F2" w14:textId="77777777" w:rsidR="001E5F59" w:rsidRDefault="001E5F59" w:rsidP="00366785">
                <w:pPr>
                  <w:pStyle w:val="FooterAgency"/>
                </w:pPr>
                <w:r>
                  <w:t>+44 (0)20 3660 6000</w:t>
                </w:r>
              </w:p>
            </w:tc>
            <w:tc>
              <w:tcPr>
                <w:tcW w:w="726" w:type="dxa"/>
                <w:vAlign w:val="bottom"/>
                <w:hideMark/>
              </w:tcPr>
              <w:p w14:paraId="15541BB0" w14:textId="77777777" w:rsidR="001E5F59" w:rsidRDefault="001E5F59" w:rsidP="00366785">
                <w:pPr>
                  <w:pStyle w:val="FooterblueAgency"/>
                </w:pPr>
                <w:r>
                  <w:t>Facsimile</w:t>
                </w:r>
              </w:p>
            </w:tc>
            <w:tc>
              <w:tcPr>
                <w:tcW w:w="2767" w:type="dxa"/>
                <w:vAlign w:val="bottom"/>
                <w:hideMark/>
              </w:tcPr>
              <w:p w14:paraId="56B6E304" w14:textId="77777777" w:rsidR="001E5F59" w:rsidRDefault="001E5F59" w:rsidP="00366785">
                <w:pPr>
                  <w:pStyle w:val="FooterAgency"/>
                </w:pPr>
                <w:r>
                  <w:t>+44 (0)20 3660 5555</w:t>
                </w:r>
              </w:p>
            </w:tc>
          </w:tr>
          <w:tr w:rsidR="001E5F59" w14:paraId="56D3F5BA" w14:textId="77777777" w:rsidTr="00366785">
            <w:trPr>
              <w:trHeight w:val="198"/>
            </w:trPr>
            <w:tc>
              <w:tcPr>
                <w:tcW w:w="5981" w:type="dxa"/>
                <w:gridSpan w:val="4"/>
                <w:vAlign w:val="bottom"/>
                <w:hideMark/>
              </w:tcPr>
              <w:p w14:paraId="65505B85" w14:textId="77777777" w:rsidR="001E5F59" w:rsidRDefault="001E5F59" w:rsidP="00366785">
                <w:pPr>
                  <w:pStyle w:val="FooterAgency"/>
                </w:pPr>
                <w:r>
                  <w:rPr>
                    <w:rStyle w:val="FooterblueAgencyCharChar"/>
                  </w:rPr>
                  <w:t>Send a question via our website</w:t>
                </w:r>
                <w:r>
                  <w:t xml:space="preserve"> www.ema.europa.eu/contact</w:t>
                </w:r>
              </w:p>
            </w:tc>
          </w:tr>
        </w:tbl>
        <w:p w14:paraId="1C86B671" w14:textId="77777777" w:rsidR="001E5F59" w:rsidRDefault="001E5F59" w:rsidP="00366785">
          <w:pPr>
            <w:pStyle w:val="FooterAgency"/>
          </w:pPr>
        </w:p>
      </w:tc>
      <w:tc>
        <w:tcPr>
          <w:tcW w:w="3207" w:type="dxa"/>
          <w:vMerge/>
          <w:vAlign w:val="center"/>
          <w:hideMark/>
        </w:tcPr>
        <w:p w14:paraId="7711C6AB" w14:textId="77777777" w:rsidR="001E5F59" w:rsidRDefault="001E5F59" w:rsidP="00366785">
          <w:pPr>
            <w:rPr>
              <w:rFonts w:eastAsia="Verdana"/>
              <w:color w:val="6D6F71"/>
              <w:sz w:val="14"/>
              <w:szCs w:val="14"/>
              <w:lang w:eastAsia="en-GB"/>
            </w:rPr>
          </w:pPr>
        </w:p>
      </w:tc>
    </w:tr>
    <w:tr w:rsidR="001E5F59" w14:paraId="19A626F1" w14:textId="77777777" w:rsidTr="496F04BF">
      <w:tc>
        <w:tcPr>
          <w:tcW w:w="9413" w:type="dxa"/>
          <w:gridSpan w:val="2"/>
          <w:tcMar>
            <w:top w:w="0" w:type="dxa"/>
            <w:left w:w="0" w:type="dxa"/>
            <w:bottom w:w="0" w:type="dxa"/>
            <w:right w:w="0" w:type="dxa"/>
          </w:tcMar>
          <w:vAlign w:val="bottom"/>
        </w:tcPr>
        <w:p w14:paraId="082F4CE8" w14:textId="77777777" w:rsidR="001E5F59" w:rsidRDefault="001E5F59" w:rsidP="00366785">
          <w:pPr>
            <w:pStyle w:val="FooterAgency"/>
          </w:pPr>
        </w:p>
      </w:tc>
    </w:tr>
    <w:tr w:rsidR="001E5F59" w14:paraId="63F82E34" w14:textId="77777777" w:rsidTr="496F04BF">
      <w:tc>
        <w:tcPr>
          <w:tcW w:w="9413" w:type="dxa"/>
          <w:gridSpan w:val="2"/>
          <w:tcMar>
            <w:top w:w="0" w:type="dxa"/>
            <w:left w:w="0" w:type="dxa"/>
            <w:bottom w:w="0" w:type="dxa"/>
            <w:right w:w="0" w:type="dxa"/>
          </w:tcMar>
          <w:vAlign w:val="bottom"/>
          <w:hideMark/>
        </w:tcPr>
        <w:p w14:paraId="1630AA0B" w14:textId="19380096" w:rsidR="001E5F59" w:rsidRDefault="001E5F59" w:rsidP="00366785">
          <w:pPr>
            <w:pStyle w:val="FooterAgency"/>
            <w:jc w:val="center"/>
          </w:pPr>
          <w:r>
            <w:t xml:space="preserve">© European Medicines Agency, </w:t>
          </w:r>
          <w:r>
            <w:fldChar w:fldCharType="begin"/>
          </w:r>
          <w:r>
            <w:instrText xml:space="preserve"> DATE  \@ "yyyy"  \* MERGEFORMAT </w:instrText>
          </w:r>
          <w:r>
            <w:fldChar w:fldCharType="separate"/>
          </w:r>
          <w:r w:rsidR="00E57A36">
            <w:rPr>
              <w:noProof/>
            </w:rPr>
            <w:t>2020</w:t>
          </w:r>
          <w:r>
            <w:fldChar w:fldCharType="end"/>
          </w:r>
          <w:r>
            <w:t>. Reproduction is authorised provided the source is acknowledged.</w:t>
          </w:r>
        </w:p>
      </w:tc>
    </w:tr>
  </w:tbl>
  <w:p w14:paraId="4311624C" w14:textId="77777777" w:rsidR="001E5F59" w:rsidRPr="00C42F48" w:rsidRDefault="001E5F59" w:rsidP="00C42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C5E80" w14:textId="77777777" w:rsidR="00A065A4" w:rsidRDefault="00A065A4">
      <w:r>
        <w:separator/>
      </w:r>
    </w:p>
  </w:footnote>
  <w:footnote w:type="continuationSeparator" w:id="0">
    <w:p w14:paraId="2D925B4F" w14:textId="77777777" w:rsidR="00A065A4" w:rsidRDefault="00A065A4">
      <w:r>
        <w:continuationSeparator/>
      </w:r>
    </w:p>
  </w:footnote>
  <w:footnote w:type="continuationNotice" w:id="1">
    <w:p w14:paraId="56BF4966" w14:textId="77777777" w:rsidR="00A065A4" w:rsidRDefault="00A065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757A6" w14:textId="036FF48F" w:rsidR="001E5F59" w:rsidRDefault="001E5F59">
    <w:pPr>
      <w:pStyle w:val="FooterAgency"/>
      <w:jc w:val="center"/>
    </w:pPr>
    <w:r>
      <w:rPr>
        <w:noProof/>
      </w:rPr>
      <w:drawing>
        <wp:inline distT="0" distB="0" distL="0" distR="0" wp14:anchorId="0DA2BDBC" wp14:editId="0121A97E">
          <wp:extent cx="3562350" cy="180022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2350" cy="1800225"/>
                  </a:xfrm>
                  <a:prstGeom prst="rect">
                    <a:avLst/>
                  </a:prstGeom>
                  <a:noFill/>
                  <a:ln>
                    <a:noFill/>
                  </a:ln>
                </pic:spPr>
              </pic:pic>
            </a:graphicData>
          </a:graphic>
        </wp:inline>
      </w:drawing>
    </w:r>
    <w:r w:rsidRPr="00233628">
      <w:rPr>
        <w:vanis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80B050BA"/>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C49645A6"/>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C434B898"/>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473E9BE6"/>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7AE4EF50"/>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6B169842"/>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8E26BB06"/>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4C9A0988"/>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9538275E"/>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1"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C9A004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5" w15:restartNumberingAfterBreak="0">
    <w:nsid w:val="3F3471B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7" w15:restartNumberingAfterBreak="0">
    <w:nsid w:val="6659305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0"/>
  </w:num>
  <w:num w:numId="2">
    <w:abstractNumId w:val="12"/>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4"/>
  </w:num>
  <w:num w:numId="13">
    <w:abstractNumId w:val="11"/>
  </w:num>
  <w:num w:numId="14">
    <w:abstractNumId w:val="17"/>
  </w:num>
  <w:num w:numId="15">
    <w:abstractNumId w:val="13"/>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 w:numId="28">
    <w:abstractNumId w:val="12"/>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93"/>
    <w:rsid w:val="00000585"/>
    <w:rsid w:val="00004791"/>
    <w:rsid w:val="00007F38"/>
    <w:rsid w:val="000108AF"/>
    <w:rsid w:val="00015983"/>
    <w:rsid w:val="00021B0D"/>
    <w:rsid w:val="00026A0E"/>
    <w:rsid w:val="00032C88"/>
    <w:rsid w:val="000434D0"/>
    <w:rsid w:val="00043A04"/>
    <w:rsid w:val="00043F4B"/>
    <w:rsid w:val="00054CED"/>
    <w:rsid w:val="00055A8C"/>
    <w:rsid w:val="00055D6B"/>
    <w:rsid w:val="0006534B"/>
    <w:rsid w:val="0007113D"/>
    <w:rsid w:val="00071345"/>
    <w:rsid w:val="000715FC"/>
    <w:rsid w:val="000804D2"/>
    <w:rsid w:val="000945FA"/>
    <w:rsid w:val="000961DB"/>
    <w:rsid w:val="000A025E"/>
    <w:rsid w:val="000A394B"/>
    <w:rsid w:val="000A7822"/>
    <w:rsid w:val="000B3695"/>
    <w:rsid w:val="000B6F5E"/>
    <w:rsid w:val="000D04F0"/>
    <w:rsid w:val="000D3E69"/>
    <w:rsid w:val="000D6998"/>
    <w:rsid w:val="000E0A56"/>
    <w:rsid w:val="000E3B16"/>
    <w:rsid w:val="000E4D99"/>
    <w:rsid w:val="000E6A7B"/>
    <w:rsid w:val="000F13BD"/>
    <w:rsid w:val="000F2FCE"/>
    <w:rsid w:val="000F3FD2"/>
    <w:rsid w:val="000F4445"/>
    <w:rsid w:val="00115803"/>
    <w:rsid w:val="00115C1C"/>
    <w:rsid w:val="0011654F"/>
    <w:rsid w:val="00120463"/>
    <w:rsid w:val="00120FDF"/>
    <w:rsid w:val="0012131E"/>
    <w:rsid w:val="00121FB6"/>
    <w:rsid w:val="00122F29"/>
    <w:rsid w:val="001237A3"/>
    <w:rsid w:val="00123912"/>
    <w:rsid w:val="001279FD"/>
    <w:rsid w:val="00127AED"/>
    <w:rsid w:val="00132942"/>
    <w:rsid w:val="00133CE1"/>
    <w:rsid w:val="00135246"/>
    <w:rsid w:val="00137D76"/>
    <w:rsid w:val="00143D1C"/>
    <w:rsid w:val="00153A3D"/>
    <w:rsid w:val="001576BD"/>
    <w:rsid w:val="00157FBE"/>
    <w:rsid w:val="00161AA4"/>
    <w:rsid w:val="0016463A"/>
    <w:rsid w:val="001861B5"/>
    <w:rsid w:val="00193007"/>
    <w:rsid w:val="00193D34"/>
    <w:rsid w:val="001964C2"/>
    <w:rsid w:val="001A4862"/>
    <w:rsid w:val="001A4B2C"/>
    <w:rsid w:val="001D2B90"/>
    <w:rsid w:val="001D328A"/>
    <w:rsid w:val="001D394A"/>
    <w:rsid w:val="001D44C0"/>
    <w:rsid w:val="001D5B81"/>
    <w:rsid w:val="001E4F9F"/>
    <w:rsid w:val="001E5F59"/>
    <w:rsid w:val="00201819"/>
    <w:rsid w:val="00202677"/>
    <w:rsid w:val="002067BD"/>
    <w:rsid w:val="00206CD1"/>
    <w:rsid w:val="00211EAB"/>
    <w:rsid w:val="00213264"/>
    <w:rsid w:val="00230BCA"/>
    <w:rsid w:val="00242211"/>
    <w:rsid w:val="002428CF"/>
    <w:rsid w:val="00246B9A"/>
    <w:rsid w:val="0024716B"/>
    <w:rsid w:val="00252729"/>
    <w:rsid w:val="002533F5"/>
    <w:rsid w:val="00254537"/>
    <w:rsid w:val="0025492E"/>
    <w:rsid w:val="00254B3E"/>
    <w:rsid w:val="00261E8C"/>
    <w:rsid w:val="00265F80"/>
    <w:rsid w:val="002668BC"/>
    <w:rsid w:val="00267614"/>
    <w:rsid w:val="00272217"/>
    <w:rsid w:val="00272CC3"/>
    <w:rsid w:val="0027708C"/>
    <w:rsid w:val="002803AA"/>
    <w:rsid w:val="00297CDB"/>
    <w:rsid w:val="002A0B5B"/>
    <w:rsid w:val="002A3DA7"/>
    <w:rsid w:val="002A41B8"/>
    <w:rsid w:val="002A4A0E"/>
    <w:rsid w:val="002A6756"/>
    <w:rsid w:val="002B5BC4"/>
    <w:rsid w:val="002B6228"/>
    <w:rsid w:val="002B6B3F"/>
    <w:rsid w:val="002C0252"/>
    <w:rsid w:val="002C2429"/>
    <w:rsid w:val="002D1663"/>
    <w:rsid w:val="002E2CBE"/>
    <w:rsid w:val="002E4EE7"/>
    <w:rsid w:val="002E76D3"/>
    <w:rsid w:val="002F0435"/>
    <w:rsid w:val="002F09AA"/>
    <w:rsid w:val="002F3AA5"/>
    <w:rsid w:val="002F47A4"/>
    <w:rsid w:val="003052B0"/>
    <w:rsid w:val="003068C6"/>
    <w:rsid w:val="00306D6B"/>
    <w:rsid w:val="00306E53"/>
    <w:rsid w:val="00307802"/>
    <w:rsid w:val="00310456"/>
    <w:rsid w:val="003108C7"/>
    <w:rsid w:val="00312D64"/>
    <w:rsid w:val="00314D31"/>
    <w:rsid w:val="003156DC"/>
    <w:rsid w:val="00317F18"/>
    <w:rsid w:val="00324548"/>
    <w:rsid w:val="00327CA7"/>
    <w:rsid w:val="003355F9"/>
    <w:rsid w:val="00340BB5"/>
    <w:rsid w:val="00347469"/>
    <w:rsid w:val="0035147C"/>
    <w:rsid w:val="003558CB"/>
    <w:rsid w:val="00356854"/>
    <w:rsid w:val="003619E2"/>
    <w:rsid w:val="00362B51"/>
    <w:rsid w:val="00364609"/>
    <w:rsid w:val="00366785"/>
    <w:rsid w:val="003672AC"/>
    <w:rsid w:val="00370140"/>
    <w:rsid w:val="00370D5B"/>
    <w:rsid w:val="0037269E"/>
    <w:rsid w:val="00374098"/>
    <w:rsid w:val="00374A7A"/>
    <w:rsid w:val="00374D0D"/>
    <w:rsid w:val="00383CAA"/>
    <w:rsid w:val="003851E2"/>
    <w:rsid w:val="003934AE"/>
    <w:rsid w:val="003951E3"/>
    <w:rsid w:val="00395D4A"/>
    <w:rsid w:val="003A1131"/>
    <w:rsid w:val="003A3659"/>
    <w:rsid w:val="003B5495"/>
    <w:rsid w:val="003C6D27"/>
    <w:rsid w:val="003C7CFD"/>
    <w:rsid w:val="003D0DCA"/>
    <w:rsid w:val="003D224E"/>
    <w:rsid w:val="003D606D"/>
    <w:rsid w:val="003E3FC5"/>
    <w:rsid w:val="003E50DC"/>
    <w:rsid w:val="003E56B1"/>
    <w:rsid w:val="004055BD"/>
    <w:rsid w:val="00406E75"/>
    <w:rsid w:val="00411705"/>
    <w:rsid w:val="004145EF"/>
    <w:rsid w:val="00414EE2"/>
    <w:rsid w:val="00415729"/>
    <w:rsid w:val="00426005"/>
    <w:rsid w:val="0042635A"/>
    <w:rsid w:val="00426D94"/>
    <w:rsid w:val="00427CEC"/>
    <w:rsid w:val="0043125A"/>
    <w:rsid w:val="00437F9D"/>
    <w:rsid w:val="004469D7"/>
    <w:rsid w:val="00480E35"/>
    <w:rsid w:val="00485C67"/>
    <w:rsid w:val="00486504"/>
    <w:rsid w:val="0048707D"/>
    <w:rsid w:val="00487A79"/>
    <w:rsid w:val="004910F3"/>
    <w:rsid w:val="004922FD"/>
    <w:rsid w:val="00492527"/>
    <w:rsid w:val="004938A3"/>
    <w:rsid w:val="00494354"/>
    <w:rsid w:val="00494FB9"/>
    <w:rsid w:val="0049636C"/>
    <w:rsid w:val="00497525"/>
    <w:rsid w:val="004A0A0C"/>
    <w:rsid w:val="004A3331"/>
    <w:rsid w:val="004A5094"/>
    <w:rsid w:val="004B270F"/>
    <w:rsid w:val="004C019A"/>
    <w:rsid w:val="004C4ACA"/>
    <w:rsid w:val="004D27E4"/>
    <w:rsid w:val="004E1BFA"/>
    <w:rsid w:val="004E6611"/>
    <w:rsid w:val="004E7DEA"/>
    <w:rsid w:val="00505D23"/>
    <w:rsid w:val="005147E5"/>
    <w:rsid w:val="00514C9F"/>
    <w:rsid w:val="005164B7"/>
    <w:rsid w:val="005168D9"/>
    <w:rsid w:val="00524665"/>
    <w:rsid w:val="00526773"/>
    <w:rsid w:val="0053100A"/>
    <w:rsid w:val="00531B85"/>
    <w:rsid w:val="00542968"/>
    <w:rsid w:val="00552286"/>
    <w:rsid w:val="00557079"/>
    <w:rsid w:val="00562514"/>
    <w:rsid w:val="00562629"/>
    <w:rsid w:val="00563F3B"/>
    <w:rsid w:val="00564B7A"/>
    <w:rsid w:val="00565183"/>
    <w:rsid w:val="00567C3F"/>
    <w:rsid w:val="00574467"/>
    <w:rsid w:val="00575823"/>
    <w:rsid w:val="00576F64"/>
    <w:rsid w:val="005823EF"/>
    <w:rsid w:val="005832AB"/>
    <w:rsid w:val="00584486"/>
    <w:rsid w:val="00591A70"/>
    <w:rsid w:val="0059482C"/>
    <w:rsid w:val="005973FC"/>
    <w:rsid w:val="005A1001"/>
    <w:rsid w:val="005A1371"/>
    <w:rsid w:val="005A35B9"/>
    <w:rsid w:val="005A646F"/>
    <w:rsid w:val="005B5A04"/>
    <w:rsid w:val="005C0CF0"/>
    <w:rsid w:val="005C2A63"/>
    <w:rsid w:val="005C3586"/>
    <w:rsid w:val="005C7AE0"/>
    <w:rsid w:val="005D3C3F"/>
    <w:rsid w:val="005D4D6F"/>
    <w:rsid w:val="005D7564"/>
    <w:rsid w:val="005E4311"/>
    <w:rsid w:val="005E650B"/>
    <w:rsid w:val="005E7BFA"/>
    <w:rsid w:val="005F3BD7"/>
    <w:rsid w:val="005F3CE0"/>
    <w:rsid w:val="00603661"/>
    <w:rsid w:val="0060494E"/>
    <w:rsid w:val="006137E5"/>
    <w:rsid w:val="0062260F"/>
    <w:rsid w:val="0062413C"/>
    <w:rsid w:val="00630FBF"/>
    <w:rsid w:val="0063227C"/>
    <w:rsid w:val="00635F00"/>
    <w:rsid w:val="00640E30"/>
    <w:rsid w:val="00644FAE"/>
    <w:rsid w:val="00654817"/>
    <w:rsid w:val="00656C0B"/>
    <w:rsid w:val="00660635"/>
    <w:rsid w:val="006613E4"/>
    <w:rsid w:val="006679C4"/>
    <w:rsid w:val="00670CD1"/>
    <w:rsid w:val="006711E8"/>
    <w:rsid w:val="0067478C"/>
    <w:rsid w:val="00675584"/>
    <w:rsid w:val="006768C6"/>
    <w:rsid w:val="00685701"/>
    <w:rsid w:val="00692EC0"/>
    <w:rsid w:val="00694823"/>
    <w:rsid w:val="006A07C0"/>
    <w:rsid w:val="006A2061"/>
    <w:rsid w:val="006A628A"/>
    <w:rsid w:val="006A66D0"/>
    <w:rsid w:val="006B0655"/>
    <w:rsid w:val="006C01D8"/>
    <w:rsid w:val="006C0B8F"/>
    <w:rsid w:val="006C1B46"/>
    <w:rsid w:val="006D1F07"/>
    <w:rsid w:val="006D25AF"/>
    <w:rsid w:val="006D2BCD"/>
    <w:rsid w:val="006D3B3C"/>
    <w:rsid w:val="006D5006"/>
    <w:rsid w:val="006D558D"/>
    <w:rsid w:val="006E35E8"/>
    <w:rsid w:val="006F0E00"/>
    <w:rsid w:val="006F2152"/>
    <w:rsid w:val="006F40A4"/>
    <w:rsid w:val="00701778"/>
    <w:rsid w:val="00703685"/>
    <w:rsid w:val="00716ECE"/>
    <w:rsid w:val="007217F2"/>
    <w:rsid w:val="00727CBB"/>
    <w:rsid w:val="00732709"/>
    <w:rsid w:val="00736CE4"/>
    <w:rsid w:val="00743C19"/>
    <w:rsid w:val="007442A2"/>
    <w:rsid w:val="0075525D"/>
    <w:rsid w:val="007577A1"/>
    <w:rsid w:val="007641A8"/>
    <w:rsid w:val="00765B2A"/>
    <w:rsid w:val="007704CF"/>
    <w:rsid w:val="00775A29"/>
    <w:rsid w:val="00775A85"/>
    <w:rsid w:val="00780060"/>
    <w:rsid w:val="00794D27"/>
    <w:rsid w:val="007A6C96"/>
    <w:rsid w:val="007A7807"/>
    <w:rsid w:val="007B33C7"/>
    <w:rsid w:val="007C1C9C"/>
    <w:rsid w:val="007C3D10"/>
    <w:rsid w:val="007C4D45"/>
    <w:rsid w:val="007C5925"/>
    <w:rsid w:val="007D2B03"/>
    <w:rsid w:val="007D4458"/>
    <w:rsid w:val="007D4F92"/>
    <w:rsid w:val="007D725E"/>
    <w:rsid w:val="007D7468"/>
    <w:rsid w:val="007DE936"/>
    <w:rsid w:val="007E4824"/>
    <w:rsid w:val="007F1CE5"/>
    <w:rsid w:val="007F43DB"/>
    <w:rsid w:val="007F54B7"/>
    <w:rsid w:val="007F7122"/>
    <w:rsid w:val="007F7323"/>
    <w:rsid w:val="00805D5E"/>
    <w:rsid w:val="00813F33"/>
    <w:rsid w:val="00815A76"/>
    <w:rsid w:val="0081732D"/>
    <w:rsid w:val="008253BE"/>
    <w:rsid w:val="008256F5"/>
    <w:rsid w:val="0084128B"/>
    <w:rsid w:val="00841769"/>
    <w:rsid w:val="00845289"/>
    <w:rsid w:val="008452D6"/>
    <w:rsid w:val="008466DC"/>
    <w:rsid w:val="00846A7C"/>
    <w:rsid w:val="008477BC"/>
    <w:rsid w:val="0085183B"/>
    <w:rsid w:val="0085372B"/>
    <w:rsid w:val="00863359"/>
    <w:rsid w:val="00864112"/>
    <w:rsid w:val="008661F0"/>
    <w:rsid w:val="00870ECC"/>
    <w:rsid w:val="008742B7"/>
    <w:rsid w:val="00876174"/>
    <w:rsid w:val="008846BB"/>
    <w:rsid w:val="00884724"/>
    <w:rsid w:val="00886530"/>
    <w:rsid w:val="008902E2"/>
    <w:rsid w:val="00896081"/>
    <w:rsid w:val="008A21C8"/>
    <w:rsid w:val="008A2326"/>
    <w:rsid w:val="008A2EF9"/>
    <w:rsid w:val="008A4F82"/>
    <w:rsid w:val="008B309F"/>
    <w:rsid w:val="008B3944"/>
    <w:rsid w:val="008B57F7"/>
    <w:rsid w:val="008B6D7C"/>
    <w:rsid w:val="008B73D0"/>
    <w:rsid w:val="008C1B18"/>
    <w:rsid w:val="008C258E"/>
    <w:rsid w:val="008C4963"/>
    <w:rsid w:val="008C5067"/>
    <w:rsid w:val="008C6D3D"/>
    <w:rsid w:val="008D1991"/>
    <w:rsid w:val="008D4DC9"/>
    <w:rsid w:val="008E0203"/>
    <w:rsid w:val="008E5C7A"/>
    <w:rsid w:val="008F7028"/>
    <w:rsid w:val="00903FD5"/>
    <w:rsid w:val="0090495A"/>
    <w:rsid w:val="009056F7"/>
    <w:rsid w:val="00911C6E"/>
    <w:rsid w:val="00914B59"/>
    <w:rsid w:val="00922213"/>
    <w:rsid w:val="00922E98"/>
    <w:rsid w:val="0092460E"/>
    <w:rsid w:val="0092498B"/>
    <w:rsid w:val="009253D8"/>
    <w:rsid w:val="00927D35"/>
    <w:rsid w:val="00936EE2"/>
    <w:rsid w:val="00943AD2"/>
    <w:rsid w:val="00943F9B"/>
    <w:rsid w:val="00951009"/>
    <w:rsid w:val="00952CC8"/>
    <w:rsid w:val="00956EB5"/>
    <w:rsid w:val="00957497"/>
    <w:rsid w:val="00963748"/>
    <w:rsid w:val="0096560F"/>
    <w:rsid w:val="00971F22"/>
    <w:rsid w:val="00975CA0"/>
    <w:rsid w:val="00977270"/>
    <w:rsid w:val="00984D44"/>
    <w:rsid w:val="00990F5B"/>
    <w:rsid w:val="00992F00"/>
    <w:rsid w:val="00993DD2"/>
    <w:rsid w:val="00993DD4"/>
    <w:rsid w:val="009967D7"/>
    <w:rsid w:val="009A0F1F"/>
    <w:rsid w:val="009A4904"/>
    <w:rsid w:val="009B37D8"/>
    <w:rsid w:val="009D36BD"/>
    <w:rsid w:val="009D54E2"/>
    <w:rsid w:val="009D5605"/>
    <w:rsid w:val="009D78C7"/>
    <w:rsid w:val="009E30B9"/>
    <w:rsid w:val="009F0E55"/>
    <w:rsid w:val="009F6E74"/>
    <w:rsid w:val="009F7C8E"/>
    <w:rsid w:val="00A065A4"/>
    <w:rsid w:val="00A068DF"/>
    <w:rsid w:val="00A12305"/>
    <w:rsid w:val="00A13DDA"/>
    <w:rsid w:val="00A1404B"/>
    <w:rsid w:val="00A14B23"/>
    <w:rsid w:val="00A1547A"/>
    <w:rsid w:val="00A1638F"/>
    <w:rsid w:val="00A177DF"/>
    <w:rsid w:val="00A21762"/>
    <w:rsid w:val="00A22B5C"/>
    <w:rsid w:val="00A2367D"/>
    <w:rsid w:val="00A23FBF"/>
    <w:rsid w:val="00A26CBA"/>
    <w:rsid w:val="00A27B16"/>
    <w:rsid w:val="00A353AD"/>
    <w:rsid w:val="00A35F8C"/>
    <w:rsid w:val="00A42F9D"/>
    <w:rsid w:val="00A52BE7"/>
    <w:rsid w:val="00A5688B"/>
    <w:rsid w:val="00A578ED"/>
    <w:rsid w:val="00A6186B"/>
    <w:rsid w:val="00A66000"/>
    <w:rsid w:val="00A73225"/>
    <w:rsid w:val="00A748C3"/>
    <w:rsid w:val="00A8262F"/>
    <w:rsid w:val="00A84915"/>
    <w:rsid w:val="00A851A9"/>
    <w:rsid w:val="00A91850"/>
    <w:rsid w:val="00A91DC6"/>
    <w:rsid w:val="00A97988"/>
    <w:rsid w:val="00AA45C3"/>
    <w:rsid w:val="00AA4C53"/>
    <w:rsid w:val="00AB460C"/>
    <w:rsid w:val="00AB6E17"/>
    <w:rsid w:val="00AB7722"/>
    <w:rsid w:val="00AC325D"/>
    <w:rsid w:val="00AC354C"/>
    <w:rsid w:val="00AD2634"/>
    <w:rsid w:val="00AD45DE"/>
    <w:rsid w:val="00AD665A"/>
    <w:rsid w:val="00AD6B46"/>
    <w:rsid w:val="00AE7641"/>
    <w:rsid w:val="00AF2254"/>
    <w:rsid w:val="00AF4678"/>
    <w:rsid w:val="00AF595D"/>
    <w:rsid w:val="00B0407E"/>
    <w:rsid w:val="00B056E7"/>
    <w:rsid w:val="00B07DAF"/>
    <w:rsid w:val="00B1665C"/>
    <w:rsid w:val="00B20824"/>
    <w:rsid w:val="00B211B4"/>
    <w:rsid w:val="00B23E14"/>
    <w:rsid w:val="00B3033B"/>
    <w:rsid w:val="00B36493"/>
    <w:rsid w:val="00B36CD3"/>
    <w:rsid w:val="00B42CD5"/>
    <w:rsid w:val="00B44DAB"/>
    <w:rsid w:val="00B578FB"/>
    <w:rsid w:val="00B612F3"/>
    <w:rsid w:val="00B65E7F"/>
    <w:rsid w:val="00B74E74"/>
    <w:rsid w:val="00B8369B"/>
    <w:rsid w:val="00B84548"/>
    <w:rsid w:val="00B850DA"/>
    <w:rsid w:val="00B85E5E"/>
    <w:rsid w:val="00B87EB8"/>
    <w:rsid w:val="00B917D1"/>
    <w:rsid w:val="00B94C1B"/>
    <w:rsid w:val="00B978FD"/>
    <w:rsid w:val="00BA435D"/>
    <w:rsid w:val="00BA554B"/>
    <w:rsid w:val="00BA7C0E"/>
    <w:rsid w:val="00BB0EE3"/>
    <w:rsid w:val="00BB4C2D"/>
    <w:rsid w:val="00BB6443"/>
    <w:rsid w:val="00BC1FDD"/>
    <w:rsid w:val="00BC67C3"/>
    <w:rsid w:val="00BD1FF2"/>
    <w:rsid w:val="00BD67D6"/>
    <w:rsid w:val="00BD6BAB"/>
    <w:rsid w:val="00BE09D4"/>
    <w:rsid w:val="00BF396B"/>
    <w:rsid w:val="00BF3D14"/>
    <w:rsid w:val="00BF6826"/>
    <w:rsid w:val="00C01D34"/>
    <w:rsid w:val="00C06796"/>
    <w:rsid w:val="00C2026A"/>
    <w:rsid w:val="00C20EA8"/>
    <w:rsid w:val="00C213CB"/>
    <w:rsid w:val="00C23B06"/>
    <w:rsid w:val="00C265E4"/>
    <w:rsid w:val="00C3017B"/>
    <w:rsid w:val="00C34F48"/>
    <w:rsid w:val="00C35A34"/>
    <w:rsid w:val="00C419A0"/>
    <w:rsid w:val="00C428DA"/>
    <w:rsid w:val="00C42BB6"/>
    <w:rsid w:val="00C42F48"/>
    <w:rsid w:val="00C476C5"/>
    <w:rsid w:val="00C50A29"/>
    <w:rsid w:val="00C53779"/>
    <w:rsid w:val="00C5441F"/>
    <w:rsid w:val="00C62C94"/>
    <w:rsid w:val="00C65FCB"/>
    <w:rsid w:val="00C70357"/>
    <w:rsid w:val="00C70781"/>
    <w:rsid w:val="00C70D30"/>
    <w:rsid w:val="00C76085"/>
    <w:rsid w:val="00C80FA8"/>
    <w:rsid w:val="00C86138"/>
    <w:rsid w:val="00C90CDB"/>
    <w:rsid w:val="00C93217"/>
    <w:rsid w:val="00CA2D5D"/>
    <w:rsid w:val="00CA65DE"/>
    <w:rsid w:val="00CB32C8"/>
    <w:rsid w:val="00CB3FEC"/>
    <w:rsid w:val="00CC4E26"/>
    <w:rsid w:val="00CC558B"/>
    <w:rsid w:val="00CC5F99"/>
    <w:rsid w:val="00CCD280"/>
    <w:rsid w:val="00CD66D5"/>
    <w:rsid w:val="00CE168A"/>
    <w:rsid w:val="00CE1DFE"/>
    <w:rsid w:val="00CE3C9B"/>
    <w:rsid w:val="00CE5F25"/>
    <w:rsid w:val="00CE65A6"/>
    <w:rsid w:val="00CF1E52"/>
    <w:rsid w:val="00CF3E65"/>
    <w:rsid w:val="00CF6098"/>
    <w:rsid w:val="00CF6FE9"/>
    <w:rsid w:val="00D011E5"/>
    <w:rsid w:val="00D1055A"/>
    <w:rsid w:val="00D13383"/>
    <w:rsid w:val="00D13F8F"/>
    <w:rsid w:val="00D20794"/>
    <w:rsid w:val="00D220CF"/>
    <w:rsid w:val="00D26E42"/>
    <w:rsid w:val="00D31279"/>
    <w:rsid w:val="00D331E3"/>
    <w:rsid w:val="00D427E1"/>
    <w:rsid w:val="00D44989"/>
    <w:rsid w:val="00D4F7ED"/>
    <w:rsid w:val="00D540CD"/>
    <w:rsid w:val="00D54585"/>
    <w:rsid w:val="00D546AF"/>
    <w:rsid w:val="00D56E11"/>
    <w:rsid w:val="00D61B99"/>
    <w:rsid w:val="00D721A3"/>
    <w:rsid w:val="00D730BC"/>
    <w:rsid w:val="00D82187"/>
    <w:rsid w:val="00D82C44"/>
    <w:rsid w:val="00D834D0"/>
    <w:rsid w:val="00D85CFC"/>
    <w:rsid w:val="00D95071"/>
    <w:rsid w:val="00D96C67"/>
    <w:rsid w:val="00DA0A0A"/>
    <w:rsid w:val="00DA3B6D"/>
    <w:rsid w:val="00DB5F5C"/>
    <w:rsid w:val="00DC1145"/>
    <w:rsid w:val="00DD1658"/>
    <w:rsid w:val="00DD45F1"/>
    <w:rsid w:val="00DD690D"/>
    <w:rsid w:val="00DE4C3B"/>
    <w:rsid w:val="00DE55E5"/>
    <w:rsid w:val="00DE649D"/>
    <w:rsid w:val="00DE7051"/>
    <w:rsid w:val="00DE771B"/>
    <w:rsid w:val="00DF5B8B"/>
    <w:rsid w:val="00DF5C39"/>
    <w:rsid w:val="00DF73CF"/>
    <w:rsid w:val="00E007DE"/>
    <w:rsid w:val="00E02E50"/>
    <w:rsid w:val="00E04891"/>
    <w:rsid w:val="00E061E1"/>
    <w:rsid w:val="00E06DC8"/>
    <w:rsid w:val="00E16C1D"/>
    <w:rsid w:val="00E2137D"/>
    <w:rsid w:val="00E23092"/>
    <w:rsid w:val="00E23B14"/>
    <w:rsid w:val="00E25346"/>
    <w:rsid w:val="00E26707"/>
    <w:rsid w:val="00E33261"/>
    <w:rsid w:val="00E3368B"/>
    <w:rsid w:val="00E41F2D"/>
    <w:rsid w:val="00E43529"/>
    <w:rsid w:val="00E43608"/>
    <w:rsid w:val="00E43A60"/>
    <w:rsid w:val="00E43DC4"/>
    <w:rsid w:val="00E453D4"/>
    <w:rsid w:val="00E54416"/>
    <w:rsid w:val="00E56D7F"/>
    <w:rsid w:val="00E5727E"/>
    <w:rsid w:val="00E57A36"/>
    <w:rsid w:val="00E62605"/>
    <w:rsid w:val="00E72723"/>
    <w:rsid w:val="00E74FF0"/>
    <w:rsid w:val="00E75693"/>
    <w:rsid w:val="00E85474"/>
    <w:rsid w:val="00E90BA7"/>
    <w:rsid w:val="00E9474B"/>
    <w:rsid w:val="00E97049"/>
    <w:rsid w:val="00EA7F7D"/>
    <w:rsid w:val="00EB107E"/>
    <w:rsid w:val="00EB2D3B"/>
    <w:rsid w:val="00EB3147"/>
    <w:rsid w:val="00EC0E37"/>
    <w:rsid w:val="00EC4271"/>
    <w:rsid w:val="00EC5150"/>
    <w:rsid w:val="00EC7F4F"/>
    <w:rsid w:val="00ED093A"/>
    <w:rsid w:val="00EE1E82"/>
    <w:rsid w:val="00EE4622"/>
    <w:rsid w:val="00EE72C5"/>
    <w:rsid w:val="00EF3A48"/>
    <w:rsid w:val="00EF6996"/>
    <w:rsid w:val="00F03773"/>
    <w:rsid w:val="00F04CE6"/>
    <w:rsid w:val="00F05EAC"/>
    <w:rsid w:val="00F062DD"/>
    <w:rsid w:val="00F064CF"/>
    <w:rsid w:val="00F0762C"/>
    <w:rsid w:val="00F10C57"/>
    <w:rsid w:val="00F12C69"/>
    <w:rsid w:val="00F149C6"/>
    <w:rsid w:val="00F169F4"/>
    <w:rsid w:val="00F17C5E"/>
    <w:rsid w:val="00F207C1"/>
    <w:rsid w:val="00F20CA0"/>
    <w:rsid w:val="00F231FF"/>
    <w:rsid w:val="00F259C7"/>
    <w:rsid w:val="00F41170"/>
    <w:rsid w:val="00F426EC"/>
    <w:rsid w:val="00F47475"/>
    <w:rsid w:val="00F50CA8"/>
    <w:rsid w:val="00F517DC"/>
    <w:rsid w:val="00F52691"/>
    <w:rsid w:val="00F539E9"/>
    <w:rsid w:val="00F6170C"/>
    <w:rsid w:val="00F62676"/>
    <w:rsid w:val="00F63A9A"/>
    <w:rsid w:val="00F6474D"/>
    <w:rsid w:val="00F72985"/>
    <w:rsid w:val="00F74402"/>
    <w:rsid w:val="00F7515E"/>
    <w:rsid w:val="00F75F61"/>
    <w:rsid w:val="00F80E7A"/>
    <w:rsid w:val="00F822C1"/>
    <w:rsid w:val="00F85DBD"/>
    <w:rsid w:val="00F90611"/>
    <w:rsid w:val="00F968D7"/>
    <w:rsid w:val="00F96A01"/>
    <w:rsid w:val="00FA28B6"/>
    <w:rsid w:val="00FA2E02"/>
    <w:rsid w:val="00FA4620"/>
    <w:rsid w:val="00FB0508"/>
    <w:rsid w:val="00FB27F5"/>
    <w:rsid w:val="00FB28D4"/>
    <w:rsid w:val="00FC43C4"/>
    <w:rsid w:val="00FC463F"/>
    <w:rsid w:val="00FC567C"/>
    <w:rsid w:val="00FC5A3D"/>
    <w:rsid w:val="00FCEA3D"/>
    <w:rsid w:val="00FD25E1"/>
    <w:rsid w:val="00FD3431"/>
    <w:rsid w:val="00FD47FD"/>
    <w:rsid w:val="00FE3803"/>
    <w:rsid w:val="00FE7043"/>
    <w:rsid w:val="00FF7F25"/>
    <w:rsid w:val="0112CE24"/>
    <w:rsid w:val="0130E54A"/>
    <w:rsid w:val="014CF268"/>
    <w:rsid w:val="01520D77"/>
    <w:rsid w:val="015EC35A"/>
    <w:rsid w:val="01ADE3AB"/>
    <w:rsid w:val="01C50202"/>
    <w:rsid w:val="021D112E"/>
    <w:rsid w:val="023EBD76"/>
    <w:rsid w:val="0244D031"/>
    <w:rsid w:val="02833AD0"/>
    <w:rsid w:val="0290DAEF"/>
    <w:rsid w:val="02A7C18E"/>
    <w:rsid w:val="02C2EDAC"/>
    <w:rsid w:val="031EC49A"/>
    <w:rsid w:val="0361FABF"/>
    <w:rsid w:val="0391F5BA"/>
    <w:rsid w:val="03CA88B7"/>
    <w:rsid w:val="03D79DE3"/>
    <w:rsid w:val="0430C6D1"/>
    <w:rsid w:val="0448657B"/>
    <w:rsid w:val="0449BEEA"/>
    <w:rsid w:val="0478AF68"/>
    <w:rsid w:val="047D1021"/>
    <w:rsid w:val="04A13622"/>
    <w:rsid w:val="04AD7008"/>
    <w:rsid w:val="05691EDA"/>
    <w:rsid w:val="05B13CF7"/>
    <w:rsid w:val="05B72934"/>
    <w:rsid w:val="05D2A573"/>
    <w:rsid w:val="06072C7C"/>
    <w:rsid w:val="064ACB81"/>
    <w:rsid w:val="06796581"/>
    <w:rsid w:val="06B37EB5"/>
    <w:rsid w:val="06E7711F"/>
    <w:rsid w:val="06F7E70A"/>
    <w:rsid w:val="06FBC20E"/>
    <w:rsid w:val="0733D444"/>
    <w:rsid w:val="073637FA"/>
    <w:rsid w:val="07DCB33E"/>
    <w:rsid w:val="085DE4AB"/>
    <w:rsid w:val="08910773"/>
    <w:rsid w:val="08A0A418"/>
    <w:rsid w:val="08B0FB00"/>
    <w:rsid w:val="08DC814E"/>
    <w:rsid w:val="08E8C737"/>
    <w:rsid w:val="08F73A88"/>
    <w:rsid w:val="099CB208"/>
    <w:rsid w:val="0A048628"/>
    <w:rsid w:val="0A060F8B"/>
    <w:rsid w:val="0A105F8F"/>
    <w:rsid w:val="0A211433"/>
    <w:rsid w:val="0A6CE0CB"/>
    <w:rsid w:val="0A83491E"/>
    <w:rsid w:val="0AAE705E"/>
    <w:rsid w:val="0AD5F465"/>
    <w:rsid w:val="0B2C57F2"/>
    <w:rsid w:val="0B50BF4D"/>
    <w:rsid w:val="0B646BE2"/>
    <w:rsid w:val="0B6FE474"/>
    <w:rsid w:val="0BBAE74B"/>
    <w:rsid w:val="0BF655CB"/>
    <w:rsid w:val="0BF9B5A0"/>
    <w:rsid w:val="0C724E95"/>
    <w:rsid w:val="0CFD7076"/>
    <w:rsid w:val="0D262999"/>
    <w:rsid w:val="0D504635"/>
    <w:rsid w:val="0D64B637"/>
    <w:rsid w:val="0D6615CB"/>
    <w:rsid w:val="0D6787D7"/>
    <w:rsid w:val="0D80C108"/>
    <w:rsid w:val="0DF40314"/>
    <w:rsid w:val="0EE637D8"/>
    <w:rsid w:val="0EFE065A"/>
    <w:rsid w:val="0F249F7C"/>
    <w:rsid w:val="0F55F838"/>
    <w:rsid w:val="0F6413AD"/>
    <w:rsid w:val="0F9072F6"/>
    <w:rsid w:val="0FBC7517"/>
    <w:rsid w:val="0FCE30E9"/>
    <w:rsid w:val="0FD258C2"/>
    <w:rsid w:val="0FD8C2D8"/>
    <w:rsid w:val="0FF4E21A"/>
    <w:rsid w:val="101F5F80"/>
    <w:rsid w:val="10238C8E"/>
    <w:rsid w:val="102CDD3B"/>
    <w:rsid w:val="1036FF4F"/>
    <w:rsid w:val="103D1147"/>
    <w:rsid w:val="108F6EDC"/>
    <w:rsid w:val="10DBBFE2"/>
    <w:rsid w:val="112A2F6C"/>
    <w:rsid w:val="11EC10F9"/>
    <w:rsid w:val="120443EF"/>
    <w:rsid w:val="122427E1"/>
    <w:rsid w:val="1237CE0B"/>
    <w:rsid w:val="12CE88E3"/>
    <w:rsid w:val="12DDA209"/>
    <w:rsid w:val="1336B62F"/>
    <w:rsid w:val="134FE73D"/>
    <w:rsid w:val="139B4B90"/>
    <w:rsid w:val="139C2155"/>
    <w:rsid w:val="13B6C855"/>
    <w:rsid w:val="13CA95DF"/>
    <w:rsid w:val="13CB7B43"/>
    <w:rsid w:val="13D574C5"/>
    <w:rsid w:val="1406C06D"/>
    <w:rsid w:val="14475373"/>
    <w:rsid w:val="144EE046"/>
    <w:rsid w:val="1455903C"/>
    <w:rsid w:val="146302DA"/>
    <w:rsid w:val="157B8360"/>
    <w:rsid w:val="1589B198"/>
    <w:rsid w:val="158B4441"/>
    <w:rsid w:val="15D41602"/>
    <w:rsid w:val="15E4A875"/>
    <w:rsid w:val="16054513"/>
    <w:rsid w:val="16119185"/>
    <w:rsid w:val="1614F6DD"/>
    <w:rsid w:val="162BFF03"/>
    <w:rsid w:val="166A5527"/>
    <w:rsid w:val="168D0E4B"/>
    <w:rsid w:val="16A1A402"/>
    <w:rsid w:val="16A4C5A8"/>
    <w:rsid w:val="16D35AF5"/>
    <w:rsid w:val="16FD11BD"/>
    <w:rsid w:val="1705E7B2"/>
    <w:rsid w:val="177D04AB"/>
    <w:rsid w:val="17862B7D"/>
    <w:rsid w:val="179292E6"/>
    <w:rsid w:val="17B8E6DA"/>
    <w:rsid w:val="17EAE2C5"/>
    <w:rsid w:val="180C352C"/>
    <w:rsid w:val="188C20A0"/>
    <w:rsid w:val="191A5909"/>
    <w:rsid w:val="191A71E9"/>
    <w:rsid w:val="1946A861"/>
    <w:rsid w:val="19642DAE"/>
    <w:rsid w:val="1A0EE870"/>
    <w:rsid w:val="1A6E69BF"/>
    <w:rsid w:val="1A97603E"/>
    <w:rsid w:val="1AAAA7FF"/>
    <w:rsid w:val="1AB63B49"/>
    <w:rsid w:val="1ADE7963"/>
    <w:rsid w:val="1B1EAD10"/>
    <w:rsid w:val="1B445D1A"/>
    <w:rsid w:val="1B499BCD"/>
    <w:rsid w:val="1B4B6AB2"/>
    <w:rsid w:val="1B4D84A5"/>
    <w:rsid w:val="1B5E9B82"/>
    <w:rsid w:val="1B7EA6B4"/>
    <w:rsid w:val="1B9B219C"/>
    <w:rsid w:val="1BA84DFF"/>
    <w:rsid w:val="1BB9F20F"/>
    <w:rsid w:val="1C1E5DAD"/>
    <w:rsid w:val="1C57BC2C"/>
    <w:rsid w:val="1C94C3A9"/>
    <w:rsid w:val="1CE81688"/>
    <w:rsid w:val="1D032C2F"/>
    <w:rsid w:val="1D155C46"/>
    <w:rsid w:val="1D3D47B6"/>
    <w:rsid w:val="1D60332E"/>
    <w:rsid w:val="1D92D0F1"/>
    <w:rsid w:val="1D9477C9"/>
    <w:rsid w:val="1E504933"/>
    <w:rsid w:val="1E67E838"/>
    <w:rsid w:val="1E6E5A9E"/>
    <w:rsid w:val="1E7918D0"/>
    <w:rsid w:val="1E7F8D3E"/>
    <w:rsid w:val="1F32B125"/>
    <w:rsid w:val="1F33B4BA"/>
    <w:rsid w:val="1F450845"/>
    <w:rsid w:val="1F5276F3"/>
    <w:rsid w:val="1F753253"/>
    <w:rsid w:val="1FBF02F5"/>
    <w:rsid w:val="1FD8E48F"/>
    <w:rsid w:val="203CC34A"/>
    <w:rsid w:val="2043BC7F"/>
    <w:rsid w:val="20DBD3AF"/>
    <w:rsid w:val="20E13DEF"/>
    <w:rsid w:val="20E5CA9F"/>
    <w:rsid w:val="20E92B9F"/>
    <w:rsid w:val="20F7146B"/>
    <w:rsid w:val="2117F958"/>
    <w:rsid w:val="2136272B"/>
    <w:rsid w:val="214CB5C0"/>
    <w:rsid w:val="2161F84F"/>
    <w:rsid w:val="2163A8B0"/>
    <w:rsid w:val="2172FF0D"/>
    <w:rsid w:val="2191FAA3"/>
    <w:rsid w:val="21D1D217"/>
    <w:rsid w:val="21F7312F"/>
    <w:rsid w:val="22109E25"/>
    <w:rsid w:val="2234E380"/>
    <w:rsid w:val="22501746"/>
    <w:rsid w:val="22821104"/>
    <w:rsid w:val="22D640CF"/>
    <w:rsid w:val="22EADD9B"/>
    <w:rsid w:val="22F64FF0"/>
    <w:rsid w:val="24122074"/>
    <w:rsid w:val="2448CD02"/>
    <w:rsid w:val="249B2700"/>
    <w:rsid w:val="24B12577"/>
    <w:rsid w:val="24D1771A"/>
    <w:rsid w:val="252847DF"/>
    <w:rsid w:val="2537C6C3"/>
    <w:rsid w:val="25580C55"/>
    <w:rsid w:val="256C2D0A"/>
    <w:rsid w:val="25737599"/>
    <w:rsid w:val="2587A7A9"/>
    <w:rsid w:val="259475DF"/>
    <w:rsid w:val="25C915D3"/>
    <w:rsid w:val="25CD360C"/>
    <w:rsid w:val="25D2A82A"/>
    <w:rsid w:val="2647126E"/>
    <w:rsid w:val="264D83FC"/>
    <w:rsid w:val="26973556"/>
    <w:rsid w:val="26B38C95"/>
    <w:rsid w:val="26C3398D"/>
    <w:rsid w:val="26D4C04F"/>
    <w:rsid w:val="276FF9ED"/>
    <w:rsid w:val="27842669"/>
    <w:rsid w:val="2792A8A1"/>
    <w:rsid w:val="27DF9179"/>
    <w:rsid w:val="280538ED"/>
    <w:rsid w:val="2810E519"/>
    <w:rsid w:val="282ED1B2"/>
    <w:rsid w:val="28621212"/>
    <w:rsid w:val="289D7411"/>
    <w:rsid w:val="28C88858"/>
    <w:rsid w:val="28E32BED"/>
    <w:rsid w:val="28EEC593"/>
    <w:rsid w:val="28FF2519"/>
    <w:rsid w:val="291423BC"/>
    <w:rsid w:val="2942E69A"/>
    <w:rsid w:val="294E9C3C"/>
    <w:rsid w:val="2954C423"/>
    <w:rsid w:val="29550C53"/>
    <w:rsid w:val="296B87C9"/>
    <w:rsid w:val="29EA529E"/>
    <w:rsid w:val="29EC0C6C"/>
    <w:rsid w:val="2A198984"/>
    <w:rsid w:val="2A271363"/>
    <w:rsid w:val="2A8E11E1"/>
    <w:rsid w:val="2AA3AA33"/>
    <w:rsid w:val="2AAAAE53"/>
    <w:rsid w:val="2ACB5118"/>
    <w:rsid w:val="2B466603"/>
    <w:rsid w:val="2B5847A6"/>
    <w:rsid w:val="2B695ED3"/>
    <w:rsid w:val="2B880F63"/>
    <w:rsid w:val="2BCA1DC2"/>
    <w:rsid w:val="2BE3A274"/>
    <w:rsid w:val="2BF4A9C7"/>
    <w:rsid w:val="2C4F8A03"/>
    <w:rsid w:val="2C54F760"/>
    <w:rsid w:val="2C5EB243"/>
    <w:rsid w:val="2C8EA524"/>
    <w:rsid w:val="2CDACCCC"/>
    <w:rsid w:val="2CE2BCD7"/>
    <w:rsid w:val="2D37BB7A"/>
    <w:rsid w:val="2D44E79D"/>
    <w:rsid w:val="2D6F837E"/>
    <w:rsid w:val="2DA63351"/>
    <w:rsid w:val="2DE5D3FC"/>
    <w:rsid w:val="2DE7DBE0"/>
    <w:rsid w:val="2DFDB752"/>
    <w:rsid w:val="2DFE1041"/>
    <w:rsid w:val="2E1FE7BC"/>
    <w:rsid w:val="2E25EFFA"/>
    <w:rsid w:val="2E4DD0CD"/>
    <w:rsid w:val="2E737A45"/>
    <w:rsid w:val="2EACE597"/>
    <w:rsid w:val="2ED8BCA5"/>
    <w:rsid w:val="2EF1834B"/>
    <w:rsid w:val="2F1B0A73"/>
    <w:rsid w:val="2F27F067"/>
    <w:rsid w:val="2F329305"/>
    <w:rsid w:val="2F40D42B"/>
    <w:rsid w:val="2F8F77D5"/>
    <w:rsid w:val="2FC5E19F"/>
    <w:rsid w:val="30063722"/>
    <w:rsid w:val="301A4205"/>
    <w:rsid w:val="3027B39E"/>
    <w:rsid w:val="30360806"/>
    <w:rsid w:val="30407044"/>
    <w:rsid w:val="304A716D"/>
    <w:rsid w:val="30D4146A"/>
    <w:rsid w:val="30E723C3"/>
    <w:rsid w:val="30E93051"/>
    <w:rsid w:val="3168C305"/>
    <w:rsid w:val="316A41A3"/>
    <w:rsid w:val="3172E9A8"/>
    <w:rsid w:val="31A1FF36"/>
    <w:rsid w:val="31AB9AA6"/>
    <w:rsid w:val="31B7487F"/>
    <w:rsid w:val="31CA6977"/>
    <w:rsid w:val="31E49EC3"/>
    <w:rsid w:val="32B90426"/>
    <w:rsid w:val="32C92809"/>
    <w:rsid w:val="32F1BDBB"/>
    <w:rsid w:val="3327422A"/>
    <w:rsid w:val="3373EDCE"/>
    <w:rsid w:val="339CEE99"/>
    <w:rsid w:val="33FAD3A9"/>
    <w:rsid w:val="340C2544"/>
    <w:rsid w:val="343C4CBD"/>
    <w:rsid w:val="34921C97"/>
    <w:rsid w:val="34C83101"/>
    <w:rsid w:val="34CA5ADA"/>
    <w:rsid w:val="35587624"/>
    <w:rsid w:val="357C9BE9"/>
    <w:rsid w:val="3599CC7F"/>
    <w:rsid w:val="359D742E"/>
    <w:rsid w:val="3657E232"/>
    <w:rsid w:val="365CD023"/>
    <w:rsid w:val="368421F8"/>
    <w:rsid w:val="36A27B73"/>
    <w:rsid w:val="36B009B8"/>
    <w:rsid w:val="36B5CCED"/>
    <w:rsid w:val="36C14467"/>
    <w:rsid w:val="370AB280"/>
    <w:rsid w:val="3723712D"/>
    <w:rsid w:val="379DC59E"/>
    <w:rsid w:val="37AF8D7F"/>
    <w:rsid w:val="380CFF40"/>
    <w:rsid w:val="381D3CDE"/>
    <w:rsid w:val="383D1E74"/>
    <w:rsid w:val="3848916A"/>
    <w:rsid w:val="3876BC04"/>
    <w:rsid w:val="38FE88FE"/>
    <w:rsid w:val="393D081F"/>
    <w:rsid w:val="3941EDFB"/>
    <w:rsid w:val="394FA0BA"/>
    <w:rsid w:val="3955E161"/>
    <w:rsid w:val="397DD2BB"/>
    <w:rsid w:val="39870FC5"/>
    <w:rsid w:val="3992083C"/>
    <w:rsid w:val="39CB0FEB"/>
    <w:rsid w:val="39CF63EE"/>
    <w:rsid w:val="39FC53AE"/>
    <w:rsid w:val="3A6ECBD8"/>
    <w:rsid w:val="3A6F39EE"/>
    <w:rsid w:val="3A92B7BD"/>
    <w:rsid w:val="3AA5F842"/>
    <w:rsid w:val="3AD4B767"/>
    <w:rsid w:val="3B00F49C"/>
    <w:rsid w:val="3B371168"/>
    <w:rsid w:val="3B556D68"/>
    <w:rsid w:val="3B8109F1"/>
    <w:rsid w:val="3B8349C6"/>
    <w:rsid w:val="3B9C3580"/>
    <w:rsid w:val="3BBB11C2"/>
    <w:rsid w:val="3C20FB83"/>
    <w:rsid w:val="3C2BCDF4"/>
    <w:rsid w:val="3C6D02B3"/>
    <w:rsid w:val="3C700946"/>
    <w:rsid w:val="3C7F7456"/>
    <w:rsid w:val="3C945E87"/>
    <w:rsid w:val="3CD97D71"/>
    <w:rsid w:val="3CDC1D33"/>
    <w:rsid w:val="3D244239"/>
    <w:rsid w:val="3D50D671"/>
    <w:rsid w:val="3D6A1AE4"/>
    <w:rsid w:val="3E2875D6"/>
    <w:rsid w:val="3E707DE1"/>
    <w:rsid w:val="3E7C8188"/>
    <w:rsid w:val="3E857437"/>
    <w:rsid w:val="3EEFD290"/>
    <w:rsid w:val="3F226E93"/>
    <w:rsid w:val="3F46DE18"/>
    <w:rsid w:val="3F4FA9E0"/>
    <w:rsid w:val="3F6B2DC4"/>
    <w:rsid w:val="3F9D8731"/>
    <w:rsid w:val="3FB3E2B3"/>
    <w:rsid w:val="3FCD01F5"/>
    <w:rsid w:val="401D23BD"/>
    <w:rsid w:val="404844DB"/>
    <w:rsid w:val="40652586"/>
    <w:rsid w:val="406690C1"/>
    <w:rsid w:val="40B7EFF1"/>
    <w:rsid w:val="40C3220F"/>
    <w:rsid w:val="41B19DE3"/>
    <w:rsid w:val="41B72B44"/>
    <w:rsid w:val="41B7D2D9"/>
    <w:rsid w:val="41DA1A13"/>
    <w:rsid w:val="420835C4"/>
    <w:rsid w:val="420AA207"/>
    <w:rsid w:val="4223900F"/>
    <w:rsid w:val="425C817B"/>
    <w:rsid w:val="4265F861"/>
    <w:rsid w:val="428A5EEE"/>
    <w:rsid w:val="42A6E3B7"/>
    <w:rsid w:val="42EBA469"/>
    <w:rsid w:val="431D5D7A"/>
    <w:rsid w:val="434A27E1"/>
    <w:rsid w:val="43DAED36"/>
    <w:rsid w:val="43DBC64E"/>
    <w:rsid w:val="43E28E9C"/>
    <w:rsid w:val="440AE2C6"/>
    <w:rsid w:val="442275E9"/>
    <w:rsid w:val="44293624"/>
    <w:rsid w:val="448F82FB"/>
    <w:rsid w:val="4496389F"/>
    <w:rsid w:val="449980FD"/>
    <w:rsid w:val="44CC7B94"/>
    <w:rsid w:val="44DE2F56"/>
    <w:rsid w:val="45141F00"/>
    <w:rsid w:val="45423186"/>
    <w:rsid w:val="4587E092"/>
    <w:rsid w:val="45C02CBC"/>
    <w:rsid w:val="46553E36"/>
    <w:rsid w:val="467374CD"/>
    <w:rsid w:val="467C90F8"/>
    <w:rsid w:val="46C77216"/>
    <w:rsid w:val="472E4E14"/>
    <w:rsid w:val="472EF249"/>
    <w:rsid w:val="47950F73"/>
    <w:rsid w:val="479FACEF"/>
    <w:rsid w:val="47A0851D"/>
    <w:rsid w:val="47A41FD4"/>
    <w:rsid w:val="47ED3BEE"/>
    <w:rsid w:val="48073AA8"/>
    <w:rsid w:val="48CFD048"/>
    <w:rsid w:val="490F6355"/>
    <w:rsid w:val="49134475"/>
    <w:rsid w:val="49174D1E"/>
    <w:rsid w:val="493A368C"/>
    <w:rsid w:val="494CE421"/>
    <w:rsid w:val="4965B901"/>
    <w:rsid w:val="496F04BF"/>
    <w:rsid w:val="498CDDC2"/>
    <w:rsid w:val="49D2C2D7"/>
    <w:rsid w:val="4A3F6E2A"/>
    <w:rsid w:val="4A412521"/>
    <w:rsid w:val="4A529E5C"/>
    <w:rsid w:val="4A9B3FC5"/>
    <w:rsid w:val="4B099822"/>
    <w:rsid w:val="4B2E1478"/>
    <w:rsid w:val="4B2FE5E0"/>
    <w:rsid w:val="4B4A51C8"/>
    <w:rsid w:val="4B4E8376"/>
    <w:rsid w:val="4B5DAD43"/>
    <w:rsid w:val="4B99E8FE"/>
    <w:rsid w:val="4BB9B22D"/>
    <w:rsid w:val="4BC37E0F"/>
    <w:rsid w:val="4BF6800A"/>
    <w:rsid w:val="4BFDBE33"/>
    <w:rsid w:val="4C2A2B07"/>
    <w:rsid w:val="4C5C7744"/>
    <w:rsid w:val="4C9818C5"/>
    <w:rsid w:val="4CB48D49"/>
    <w:rsid w:val="4CEBB49A"/>
    <w:rsid w:val="4D305B8F"/>
    <w:rsid w:val="4D620612"/>
    <w:rsid w:val="4D839AB7"/>
    <w:rsid w:val="4D8C0523"/>
    <w:rsid w:val="4D964DE4"/>
    <w:rsid w:val="4DAA3DCD"/>
    <w:rsid w:val="4DC004DD"/>
    <w:rsid w:val="4DF33A0D"/>
    <w:rsid w:val="4DF9FCDD"/>
    <w:rsid w:val="4E3D1A03"/>
    <w:rsid w:val="4E56491E"/>
    <w:rsid w:val="4EC158A7"/>
    <w:rsid w:val="4F03F519"/>
    <w:rsid w:val="4F19AC08"/>
    <w:rsid w:val="4F44A45F"/>
    <w:rsid w:val="4F52A644"/>
    <w:rsid w:val="4FA6B358"/>
    <w:rsid w:val="4FD27FA5"/>
    <w:rsid w:val="5035F373"/>
    <w:rsid w:val="5077B35A"/>
    <w:rsid w:val="507C66CE"/>
    <w:rsid w:val="50A67CF0"/>
    <w:rsid w:val="512EE9F2"/>
    <w:rsid w:val="512EFD88"/>
    <w:rsid w:val="51496C8A"/>
    <w:rsid w:val="51648A8F"/>
    <w:rsid w:val="516F5180"/>
    <w:rsid w:val="51851888"/>
    <w:rsid w:val="51CB7997"/>
    <w:rsid w:val="522C7499"/>
    <w:rsid w:val="524D3B21"/>
    <w:rsid w:val="5276F648"/>
    <w:rsid w:val="528F97A9"/>
    <w:rsid w:val="52CC2798"/>
    <w:rsid w:val="52D1E85B"/>
    <w:rsid w:val="52F3EB5D"/>
    <w:rsid w:val="533DE446"/>
    <w:rsid w:val="5343922A"/>
    <w:rsid w:val="534C1C06"/>
    <w:rsid w:val="53769297"/>
    <w:rsid w:val="53CF8F37"/>
    <w:rsid w:val="53EF1773"/>
    <w:rsid w:val="5411B167"/>
    <w:rsid w:val="541A22BF"/>
    <w:rsid w:val="54342667"/>
    <w:rsid w:val="5470B826"/>
    <w:rsid w:val="549BB80F"/>
    <w:rsid w:val="5509C213"/>
    <w:rsid w:val="5543791C"/>
    <w:rsid w:val="555408F1"/>
    <w:rsid w:val="557568D0"/>
    <w:rsid w:val="55BA9344"/>
    <w:rsid w:val="55D56A2B"/>
    <w:rsid w:val="55F55907"/>
    <w:rsid w:val="561FC61C"/>
    <w:rsid w:val="56423C3E"/>
    <w:rsid w:val="56842CAE"/>
    <w:rsid w:val="56958DB7"/>
    <w:rsid w:val="56971022"/>
    <w:rsid w:val="56D7960C"/>
    <w:rsid w:val="56FBA738"/>
    <w:rsid w:val="5712D793"/>
    <w:rsid w:val="572DC547"/>
    <w:rsid w:val="573BF41D"/>
    <w:rsid w:val="57643242"/>
    <w:rsid w:val="57CD9755"/>
    <w:rsid w:val="57D870CC"/>
    <w:rsid w:val="58169138"/>
    <w:rsid w:val="584CB813"/>
    <w:rsid w:val="589C7C22"/>
    <w:rsid w:val="58AFB9CF"/>
    <w:rsid w:val="58F1935B"/>
    <w:rsid w:val="59078B02"/>
    <w:rsid w:val="594870E3"/>
    <w:rsid w:val="59D91BF9"/>
    <w:rsid w:val="5A05E345"/>
    <w:rsid w:val="5A309CA9"/>
    <w:rsid w:val="5A6A7409"/>
    <w:rsid w:val="5A748BC3"/>
    <w:rsid w:val="5A9C8C97"/>
    <w:rsid w:val="5AC75C55"/>
    <w:rsid w:val="5AD0B2D8"/>
    <w:rsid w:val="5B31397A"/>
    <w:rsid w:val="5BB51D98"/>
    <w:rsid w:val="5BDFD1C2"/>
    <w:rsid w:val="5C0FE631"/>
    <w:rsid w:val="5C2DBC44"/>
    <w:rsid w:val="5C5FD4EB"/>
    <w:rsid w:val="5C9303B8"/>
    <w:rsid w:val="5CBE9BAF"/>
    <w:rsid w:val="5D408ADF"/>
    <w:rsid w:val="5D798F8F"/>
    <w:rsid w:val="5D9EA485"/>
    <w:rsid w:val="5DA4FAB6"/>
    <w:rsid w:val="5DAE4518"/>
    <w:rsid w:val="5E0F7873"/>
    <w:rsid w:val="5E35E5DA"/>
    <w:rsid w:val="5E68EEF5"/>
    <w:rsid w:val="5E9BB920"/>
    <w:rsid w:val="5EB13520"/>
    <w:rsid w:val="5EBB34FB"/>
    <w:rsid w:val="5EE9D6E8"/>
    <w:rsid w:val="5EFE59A8"/>
    <w:rsid w:val="5F20EDB5"/>
    <w:rsid w:val="5F5B4CDD"/>
    <w:rsid w:val="6016AFBD"/>
    <w:rsid w:val="60AC28AC"/>
    <w:rsid w:val="610707C8"/>
    <w:rsid w:val="610E3517"/>
    <w:rsid w:val="6112F170"/>
    <w:rsid w:val="61438D86"/>
    <w:rsid w:val="62513F99"/>
    <w:rsid w:val="6253E5EA"/>
    <w:rsid w:val="62951FF5"/>
    <w:rsid w:val="629683CE"/>
    <w:rsid w:val="62BAAD0D"/>
    <w:rsid w:val="62C4A530"/>
    <w:rsid w:val="62D725D8"/>
    <w:rsid w:val="63185F43"/>
    <w:rsid w:val="635806DA"/>
    <w:rsid w:val="63A6A074"/>
    <w:rsid w:val="63B11CBA"/>
    <w:rsid w:val="63D5129D"/>
    <w:rsid w:val="640FB807"/>
    <w:rsid w:val="64408882"/>
    <w:rsid w:val="646167E8"/>
    <w:rsid w:val="646BF152"/>
    <w:rsid w:val="646EE6E3"/>
    <w:rsid w:val="64802A93"/>
    <w:rsid w:val="649F83B0"/>
    <w:rsid w:val="65398D7C"/>
    <w:rsid w:val="654B0152"/>
    <w:rsid w:val="6596E86F"/>
    <w:rsid w:val="65D0BA65"/>
    <w:rsid w:val="66B3BD1B"/>
    <w:rsid w:val="66D1429D"/>
    <w:rsid w:val="66D2DAA5"/>
    <w:rsid w:val="66DAD42A"/>
    <w:rsid w:val="66EF8FFC"/>
    <w:rsid w:val="66F84F15"/>
    <w:rsid w:val="67085E81"/>
    <w:rsid w:val="671D80B6"/>
    <w:rsid w:val="67628EAD"/>
    <w:rsid w:val="6791B90D"/>
    <w:rsid w:val="67E0C471"/>
    <w:rsid w:val="682E0EE3"/>
    <w:rsid w:val="6849E4D6"/>
    <w:rsid w:val="6867478F"/>
    <w:rsid w:val="68C82D2E"/>
    <w:rsid w:val="6914EE01"/>
    <w:rsid w:val="69171BED"/>
    <w:rsid w:val="69A39171"/>
    <w:rsid w:val="69BC440C"/>
    <w:rsid w:val="69EB8EAF"/>
    <w:rsid w:val="6A4050CE"/>
    <w:rsid w:val="6A5AEF7D"/>
    <w:rsid w:val="6A7C5E5B"/>
    <w:rsid w:val="6ACBD80B"/>
    <w:rsid w:val="6B077CA5"/>
    <w:rsid w:val="6B4CE613"/>
    <w:rsid w:val="6B9EB40F"/>
    <w:rsid w:val="6BFCA64F"/>
    <w:rsid w:val="6C06967F"/>
    <w:rsid w:val="6C182222"/>
    <w:rsid w:val="6C291B5A"/>
    <w:rsid w:val="6C771DD1"/>
    <w:rsid w:val="6C8726C0"/>
    <w:rsid w:val="6CE8D09C"/>
    <w:rsid w:val="6D00B6E2"/>
    <w:rsid w:val="6D52F6C8"/>
    <w:rsid w:val="6DC86500"/>
    <w:rsid w:val="6DFF47CF"/>
    <w:rsid w:val="6E2C94C8"/>
    <w:rsid w:val="6E38430D"/>
    <w:rsid w:val="6E4BC85E"/>
    <w:rsid w:val="6E5F28C1"/>
    <w:rsid w:val="6E6E23A0"/>
    <w:rsid w:val="6E741F12"/>
    <w:rsid w:val="6E7A6E83"/>
    <w:rsid w:val="6E8AAF9B"/>
    <w:rsid w:val="6E8E2C64"/>
    <w:rsid w:val="6E998BE5"/>
    <w:rsid w:val="6E9B2C2F"/>
    <w:rsid w:val="6EC4BB30"/>
    <w:rsid w:val="6EE7BF12"/>
    <w:rsid w:val="6F30291B"/>
    <w:rsid w:val="6F63917B"/>
    <w:rsid w:val="7018AC23"/>
    <w:rsid w:val="7024B3DE"/>
    <w:rsid w:val="703B90C4"/>
    <w:rsid w:val="703FA77F"/>
    <w:rsid w:val="709C2AAD"/>
    <w:rsid w:val="709F210C"/>
    <w:rsid w:val="70B73B8A"/>
    <w:rsid w:val="70C47B42"/>
    <w:rsid w:val="70E29913"/>
    <w:rsid w:val="714F8A61"/>
    <w:rsid w:val="71880D0D"/>
    <w:rsid w:val="7191D475"/>
    <w:rsid w:val="719C45C3"/>
    <w:rsid w:val="71A276B0"/>
    <w:rsid w:val="71A29240"/>
    <w:rsid w:val="71F66F74"/>
    <w:rsid w:val="723EF75E"/>
    <w:rsid w:val="7264FDFC"/>
    <w:rsid w:val="727AD388"/>
    <w:rsid w:val="728E897D"/>
    <w:rsid w:val="72C46AF4"/>
    <w:rsid w:val="734AB856"/>
    <w:rsid w:val="739CBCCB"/>
    <w:rsid w:val="73DE88A9"/>
    <w:rsid w:val="74863C9E"/>
    <w:rsid w:val="74BEFC12"/>
    <w:rsid w:val="74EE3CC2"/>
    <w:rsid w:val="75422716"/>
    <w:rsid w:val="759F3C79"/>
    <w:rsid w:val="761A5D73"/>
    <w:rsid w:val="76815DC5"/>
    <w:rsid w:val="769AC53A"/>
    <w:rsid w:val="76D9D236"/>
    <w:rsid w:val="771B96F1"/>
    <w:rsid w:val="774239F9"/>
    <w:rsid w:val="77558F82"/>
    <w:rsid w:val="7789EBA8"/>
    <w:rsid w:val="77B3DA60"/>
    <w:rsid w:val="77BF3D14"/>
    <w:rsid w:val="782C8D87"/>
    <w:rsid w:val="7830373A"/>
    <w:rsid w:val="787E497A"/>
    <w:rsid w:val="788DF239"/>
    <w:rsid w:val="789234E5"/>
    <w:rsid w:val="78C895FF"/>
    <w:rsid w:val="794DF7CF"/>
    <w:rsid w:val="79606457"/>
    <w:rsid w:val="796E7175"/>
    <w:rsid w:val="79B0E0F8"/>
    <w:rsid w:val="79BE0022"/>
    <w:rsid w:val="7A4995A1"/>
    <w:rsid w:val="7AE8CD56"/>
    <w:rsid w:val="7AF3C0E8"/>
    <w:rsid w:val="7AF9BE33"/>
    <w:rsid w:val="7BCB8408"/>
    <w:rsid w:val="7BCDD0BC"/>
    <w:rsid w:val="7BDABF0C"/>
    <w:rsid w:val="7C1E3C7F"/>
    <w:rsid w:val="7C46F0BD"/>
    <w:rsid w:val="7C4B1DAC"/>
    <w:rsid w:val="7C573FF1"/>
    <w:rsid w:val="7C6A9EB7"/>
    <w:rsid w:val="7C6DB8AF"/>
    <w:rsid w:val="7CA03A87"/>
    <w:rsid w:val="7CD0FFD7"/>
    <w:rsid w:val="7CD46EA2"/>
    <w:rsid w:val="7D107FA5"/>
    <w:rsid w:val="7D3D09A9"/>
    <w:rsid w:val="7D52FF14"/>
    <w:rsid w:val="7D90E76B"/>
    <w:rsid w:val="7DA7083B"/>
    <w:rsid w:val="7DB794C3"/>
    <w:rsid w:val="7DDA37C0"/>
    <w:rsid w:val="7E12C5D4"/>
    <w:rsid w:val="7E4056A8"/>
    <w:rsid w:val="7E8799C9"/>
    <w:rsid w:val="7E9CD459"/>
    <w:rsid w:val="7E9E2942"/>
    <w:rsid w:val="7EC084E4"/>
    <w:rsid w:val="7F105319"/>
    <w:rsid w:val="7F415E1E"/>
    <w:rsid w:val="7F670592"/>
    <w:rsid w:val="7F8178E6"/>
    <w:rsid w:val="7FA5DA1F"/>
    <w:rsid w:val="7FA771AA"/>
    <w:rsid w:val="7FAC0EA8"/>
    <w:rsid w:val="7FC6E031"/>
    <w:rsid w:val="7FD7CB6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3A41C"/>
  <w15:chartTrackingRefBased/>
  <w15:docId w15:val="{FED497E7-C646-4D81-A30A-2608442D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53AD"/>
    <w:rPr>
      <w:rFonts w:ascii="Verdana" w:hAnsi="Verdana" w:cs="Verdana"/>
      <w:sz w:val="18"/>
      <w:szCs w:val="18"/>
      <w:lang w:val="en-GB"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link w:val="FooterAgencyCharChar"/>
    <w:rPr>
      <w:rFonts w:eastAsia="Verdana"/>
      <w:color w:val="6D6F71"/>
      <w:sz w:val="14"/>
      <w:szCs w:val="14"/>
      <w:lang w:eastAsia="en-GB"/>
    </w:rPr>
  </w:style>
  <w:style w:type="paragraph" w:customStyle="1" w:styleId="FooterblueAgency">
    <w:name w:val="Footer blue (Agency)"/>
    <w:basedOn w:val="Normal"/>
    <w:link w:val="FooterblueAgencyCharChar"/>
    <w:rPr>
      <w:rFonts w:eastAsia="Verdana"/>
      <w:b/>
      <w:color w:val="003399"/>
      <w:sz w:val="13"/>
      <w:szCs w:val="14"/>
      <w:lang w:eastAsia="en-GB"/>
    </w:rPr>
  </w:style>
  <w:style w:type="table" w:customStyle="1" w:styleId="FootertableAgency">
    <w:name w:val="Footer table (Agency)"/>
    <w:basedOn w:val="TableNormal"/>
    <w:semiHidden/>
    <w:rPr>
      <w:rFonts w:ascii="Verdana" w:hAnsi="Verdana"/>
    </w:rPr>
    <w:tblPr/>
    <w:tcPr>
      <w:shd w:val="clear" w:color="auto" w:fill="auto"/>
      <w:tcMar>
        <w:left w:w="0" w:type="dxa"/>
        <w:right w:w="0" w:type="dxa"/>
      </w:tcMar>
    </w:tcPr>
    <w:tblStylePr w:type="firstRow">
      <w:rPr>
        <w:rFonts w:ascii="Segoe UI" w:hAnsi="Segoe UI"/>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link w:val="PagenumberAgencyCharChar"/>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rPr>
      <w:rFonts w:ascii="Verdana" w:eastAsia="Verdana" w:hAnsi="Verdana" w:cs="Verdana"/>
      <w:color w:val="6D6F71"/>
      <w:sz w:val="14"/>
      <w:szCs w:val="14"/>
      <w:lang w:val="en-GB" w:eastAsia="en-GB" w:bidi="ar-SA"/>
    </w:rPr>
  </w:style>
  <w:style w:type="character" w:customStyle="1" w:styleId="FooterblueAgencyCharChar">
    <w:name w:val="Footer blue (Agency) Char Char"/>
    <w:link w:val="FooterblueAgency"/>
    <w:rPr>
      <w:rFonts w:ascii="Verdana" w:eastAsia="Verdana" w:hAnsi="Verdana" w:cs="Verdana"/>
      <w:b/>
      <w:color w:val="003399"/>
      <w:sz w:val="13"/>
      <w:szCs w:val="14"/>
      <w:lang w:val="en-GB" w:eastAsia="en-GB" w:bidi="ar-SA"/>
    </w:rPr>
  </w:style>
  <w:style w:type="table" w:customStyle="1" w:styleId="TablegridAgencyblank">
    <w:name w:val="Table grid (Agency) blank"/>
    <w:basedOn w:val="TableNormal"/>
    <w:semiHidden/>
    <w:rPr>
      <w:rFonts w:ascii="Verdana" w:hAnsi="Verdana"/>
      <w:sz w:val="18"/>
    </w:rPr>
    <w:tblPr/>
    <w:tcPr>
      <w:shd w:val="clear" w:color="auto" w:fill="auto"/>
    </w:tcPr>
    <w:tblStylePr w:type="firstRow">
      <w:rPr>
        <w:rFonts w:ascii="Palatino Linotype" w:hAnsi="Palatino Linotype"/>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styleId="BodyText">
    <w:name w:val="Body Text"/>
    <w:basedOn w:val="Normal"/>
    <w:semiHidden/>
    <w:pPr>
      <w:spacing w:after="140" w:line="280" w:lineRule="atLeast"/>
    </w:pPr>
  </w:style>
  <w:style w:type="paragraph" w:customStyle="1" w:styleId="BodytextAgency">
    <w:name w:val="Body text (Agency)"/>
    <w:basedOn w:val="Normal"/>
    <w:link w:val="BodytextAgencyChar"/>
    <w:pPr>
      <w:spacing w:after="140" w:line="280" w:lineRule="atLeast"/>
    </w:pPr>
    <w:rPr>
      <w:rFonts w:eastAsia="Verdana"/>
      <w:lang w:eastAsia="en-GB"/>
    </w:rPr>
  </w:style>
  <w:style w:type="numbering" w:customStyle="1" w:styleId="BulletsAgency">
    <w:name w:val="Bullets (Agency)"/>
    <w:basedOn w:val="NoList"/>
    <w:pPr>
      <w:numPr>
        <w:numId w:val="1"/>
      </w:numPr>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link w:val="DocsubtitleAgencyChar"/>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28"/>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37"/>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pPr>
      <w:keepNext/>
      <w:numPr>
        <w:ilvl w:val="2"/>
        <w:numId w:val="37"/>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No-numheading4Agency">
    <w:name w:val="No-num heading 4 (Agency)"/>
    <w:basedOn w:val="Heading4Agency"/>
    <w:next w:val="BodytextAgency"/>
    <w:semiHidden/>
    <w:pPr>
      <w:numPr>
        <w:ilvl w:val="0"/>
        <w:numId w:val="0"/>
      </w:numPr>
    </w:pPr>
  </w:style>
  <w:style w:type="paragraph" w:customStyle="1" w:styleId="No-numheading5Agency">
    <w:name w:val="No-num heading 5 (Agency)"/>
    <w:basedOn w:val="Heading5Agency"/>
    <w:next w:val="BodytextAgency"/>
    <w:semiHidden/>
    <w:pPr>
      <w:numPr>
        <w:ilvl w:val="0"/>
        <w:numId w:val="0"/>
      </w:numPr>
    </w:pPr>
  </w:style>
  <w:style w:type="paragraph" w:customStyle="1" w:styleId="No-numheading6Agency">
    <w:name w:val="No-num heading 6 (Agency)"/>
    <w:basedOn w:val="No-numheading5Agency"/>
    <w:next w:val="BodytextAgency"/>
    <w:semiHidden/>
    <w:pPr>
      <w:outlineLvl w:val="5"/>
    </w:p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customStyle="1" w:styleId="NormalAgency">
    <w:name w:val="Normal (Agency)"/>
    <w:rPr>
      <w:rFonts w:ascii="Verdana" w:eastAsia="Verdana" w:hAnsi="Verdana" w:cs="Verdana"/>
      <w:sz w:val="18"/>
      <w:szCs w:val="18"/>
      <w:lang w:val="en-GB" w:eastAsia="en-GB"/>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pPr>
      <w:numPr>
        <w:numId w:val="12"/>
      </w:numPr>
    </w:pPr>
  </w:style>
  <w:style w:type="paragraph" w:customStyle="1" w:styleId="RefAgency">
    <w:name w:val="Ref. (Agency)"/>
    <w:basedOn w:val="Normal"/>
    <w:semiHidden/>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table" w:customStyle="1" w:styleId="TablegridAgency">
    <w:name w:val="Table grid (Agency)"/>
    <w:basedOn w:val="TableNormal"/>
    <w:semiHidden/>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Verdana" w:hAnsi="Verdan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semiHidden/>
    <w:pPr>
      <w:keepNext/>
      <w:numPr>
        <w:numId w:val="39"/>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numbering" w:styleId="111111">
    <w:name w:val="Outline List 2"/>
    <w:basedOn w:val="NoList"/>
    <w:semiHidden/>
    <w:pPr>
      <w:numPr>
        <w:numId w:val="14"/>
      </w:numPr>
    </w:pPr>
  </w:style>
  <w:style w:type="numbering" w:styleId="1ai">
    <w:name w:val="Outline List 1"/>
    <w:basedOn w:val="NoList"/>
    <w:semiHidden/>
    <w:pPr>
      <w:numPr>
        <w:numId w:val="15"/>
      </w:numPr>
    </w:pPr>
  </w:style>
  <w:style w:type="numbering" w:styleId="ArticleSection">
    <w:name w:val="Outline List 3"/>
    <w:basedOn w:val="NoList"/>
    <w:semiHidden/>
    <w:pPr>
      <w:numPr>
        <w:numId w:val="16"/>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7"/>
      </w:numPr>
    </w:pPr>
  </w:style>
  <w:style w:type="paragraph" w:styleId="ListBullet2">
    <w:name w:val="List Bullet 2"/>
    <w:basedOn w:val="Normal"/>
    <w:semiHidden/>
    <w:pPr>
      <w:numPr>
        <w:numId w:val="18"/>
      </w:numPr>
    </w:pPr>
  </w:style>
  <w:style w:type="paragraph" w:styleId="ListBullet3">
    <w:name w:val="List Bullet 3"/>
    <w:basedOn w:val="Normal"/>
    <w:semiHidden/>
    <w:pPr>
      <w:numPr>
        <w:numId w:val="19"/>
      </w:numPr>
    </w:pPr>
  </w:style>
  <w:style w:type="paragraph" w:styleId="ListBullet4">
    <w:name w:val="List Bullet 4"/>
    <w:basedOn w:val="Normal"/>
    <w:semiHidden/>
    <w:pPr>
      <w:numPr>
        <w:numId w:val="20"/>
      </w:numPr>
    </w:pPr>
  </w:style>
  <w:style w:type="paragraph" w:styleId="ListBullet5">
    <w:name w:val="List Bullet 5"/>
    <w:basedOn w:val="Normal"/>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link w:val="DocsubtitleAgency"/>
    <w:rPr>
      <w:rFonts w:ascii="Verdana" w:eastAsia="Verdana" w:hAnsi="Verdana" w:cs="Verdana"/>
      <w:sz w:val="24"/>
      <w:szCs w:val="24"/>
      <w:lang w:val="en-GB" w:eastAsia="en-GB" w:bidi="ar-SA"/>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 w:type="paragraph" w:customStyle="1" w:styleId="Default">
    <w:name w:val="Default"/>
    <w:rsid w:val="009E30B9"/>
    <w:pPr>
      <w:autoSpaceDE w:val="0"/>
      <w:autoSpaceDN w:val="0"/>
      <w:adjustRightInd w:val="0"/>
    </w:pPr>
    <w:rPr>
      <w:rFonts w:ascii="Verdana" w:hAnsi="Verdana" w:cs="Verdana"/>
      <w:color w:val="000000"/>
      <w:sz w:val="24"/>
      <w:szCs w:val="24"/>
    </w:rPr>
  </w:style>
  <w:style w:type="paragraph" w:customStyle="1" w:styleId="paragraph">
    <w:name w:val="paragraph"/>
    <w:basedOn w:val="Normal"/>
    <w:rsid w:val="00E85474"/>
    <w:pPr>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normaltextrun">
    <w:name w:val="normaltextrun"/>
    <w:basedOn w:val="DefaultParagraphFont"/>
    <w:rsid w:val="00E85474"/>
  </w:style>
  <w:style w:type="character" w:customStyle="1" w:styleId="eop">
    <w:name w:val="eop"/>
    <w:basedOn w:val="DefaultParagraphFont"/>
    <w:rsid w:val="00E85474"/>
  </w:style>
  <w:style w:type="character" w:styleId="UnresolvedMention">
    <w:name w:val="Unresolved Mention"/>
    <w:basedOn w:val="DefaultParagraphFont"/>
    <w:uiPriority w:val="99"/>
    <w:semiHidden/>
    <w:unhideWhenUsed/>
    <w:rsid w:val="00815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9111">
      <w:bodyDiv w:val="1"/>
      <w:marLeft w:val="0"/>
      <w:marRight w:val="0"/>
      <w:marTop w:val="0"/>
      <w:marBottom w:val="0"/>
      <w:divBdr>
        <w:top w:val="none" w:sz="0" w:space="0" w:color="auto"/>
        <w:left w:val="none" w:sz="0" w:space="0" w:color="auto"/>
        <w:bottom w:val="none" w:sz="0" w:space="0" w:color="auto"/>
        <w:right w:val="none" w:sz="0" w:space="0" w:color="auto"/>
      </w:divBdr>
    </w:div>
    <w:div w:id="112024544">
      <w:bodyDiv w:val="1"/>
      <w:marLeft w:val="0"/>
      <w:marRight w:val="0"/>
      <w:marTop w:val="0"/>
      <w:marBottom w:val="0"/>
      <w:divBdr>
        <w:top w:val="none" w:sz="0" w:space="0" w:color="auto"/>
        <w:left w:val="none" w:sz="0" w:space="0" w:color="auto"/>
        <w:bottom w:val="none" w:sz="0" w:space="0" w:color="auto"/>
        <w:right w:val="none" w:sz="0" w:space="0" w:color="auto"/>
      </w:divBdr>
    </w:div>
    <w:div w:id="187986242">
      <w:bodyDiv w:val="1"/>
      <w:marLeft w:val="0"/>
      <w:marRight w:val="0"/>
      <w:marTop w:val="0"/>
      <w:marBottom w:val="0"/>
      <w:divBdr>
        <w:top w:val="none" w:sz="0" w:space="0" w:color="auto"/>
        <w:left w:val="none" w:sz="0" w:space="0" w:color="auto"/>
        <w:bottom w:val="none" w:sz="0" w:space="0" w:color="auto"/>
        <w:right w:val="none" w:sz="0" w:space="0" w:color="auto"/>
      </w:divBdr>
    </w:div>
    <w:div w:id="210270814">
      <w:bodyDiv w:val="1"/>
      <w:marLeft w:val="0"/>
      <w:marRight w:val="0"/>
      <w:marTop w:val="0"/>
      <w:marBottom w:val="0"/>
      <w:divBdr>
        <w:top w:val="none" w:sz="0" w:space="0" w:color="auto"/>
        <w:left w:val="none" w:sz="0" w:space="0" w:color="auto"/>
        <w:bottom w:val="none" w:sz="0" w:space="0" w:color="auto"/>
        <w:right w:val="none" w:sz="0" w:space="0" w:color="auto"/>
      </w:divBdr>
    </w:div>
    <w:div w:id="228613692">
      <w:bodyDiv w:val="1"/>
      <w:marLeft w:val="0"/>
      <w:marRight w:val="0"/>
      <w:marTop w:val="0"/>
      <w:marBottom w:val="0"/>
      <w:divBdr>
        <w:top w:val="none" w:sz="0" w:space="0" w:color="auto"/>
        <w:left w:val="none" w:sz="0" w:space="0" w:color="auto"/>
        <w:bottom w:val="none" w:sz="0" w:space="0" w:color="auto"/>
        <w:right w:val="none" w:sz="0" w:space="0" w:color="auto"/>
      </w:divBdr>
    </w:div>
    <w:div w:id="246815039">
      <w:bodyDiv w:val="1"/>
      <w:marLeft w:val="0"/>
      <w:marRight w:val="0"/>
      <w:marTop w:val="0"/>
      <w:marBottom w:val="0"/>
      <w:divBdr>
        <w:top w:val="none" w:sz="0" w:space="0" w:color="auto"/>
        <w:left w:val="none" w:sz="0" w:space="0" w:color="auto"/>
        <w:bottom w:val="none" w:sz="0" w:space="0" w:color="auto"/>
        <w:right w:val="none" w:sz="0" w:space="0" w:color="auto"/>
      </w:divBdr>
    </w:div>
    <w:div w:id="267004155">
      <w:bodyDiv w:val="1"/>
      <w:marLeft w:val="0"/>
      <w:marRight w:val="0"/>
      <w:marTop w:val="0"/>
      <w:marBottom w:val="0"/>
      <w:divBdr>
        <w:top w:val="none" w:sz="0" w:space="0" w:color="auto"/>
        <w:left w:val="none" w:sz="0" w:space="0" w:color="auto"/>
        <w:bottom w:val="none" w:sz="0" w:space="0" w:color="auto"/>
        <w:right w:val="none" w:sz="0" w:space="0" w:color="auto"/>
      </w:divBdr>
    </w:div>
    <w:div w:id="303047753">
      <w:bodyDiv w:val="1"/>
      <w:marLeft w:val="0"/>
      <w:marRight w:val="0"/>
      <w:marTop w:val="0"/>
      <w:marBottom w:val="0"/>
      <w:divBdr>
        <w:top w:val="none" w:sz="0" w:space="0" w:color="auto"/>
        <w:left w:val="none" w:sz="0" w:space="0" w:color="auto"/>
        <w:bottom w:val="none" w:sz="0" w:space="0" w:color="auto"/>
        <w:right w:val="none" w:sz="0" w:space="0" w:color="auto"/>
      </w:divBdr>
    </w:div>
    <w:div w:id="356347983">
      <w:bodyDiv w:val="1"/>
      <w:marLeft w:val="0"/>
      <w:marRight w:val="0"/>
      <w:marTop w:val="0"/>
      <w:marBottom w:val="0"/>
      <w:divBdr>
        <w:top w:val="none" w:sz="0" w:space="0" w:color="auto"/>
        <w:left w:val="none" w:sz="0" w:space="0" w:color="auto"/>
        <w:bottom w:val="none" w:sz="0" w:space="0" w:color="auto"/>
        <w:right w:val="none" w:sz="0" w:space="0" w:color="auto"/>
      </w:divBdr>
    </w:div>
    <w:div w:id="371227143">
      <w:bodyDiv w:val="1"/>
      <w:marLeft w:val="0"/>
      <w:marRight w:val="0"/>
      <w:marTop w:val="0"/>
      <w:marBottom w:val="0"/>
      <w:divBdr>
        <w:top w:val="none" w:sz="0" w:space="0" w:color="auto"/>
        <w:left w:val="none" w:sz="0" w:space="0" w:color="auto"/>
        <w:bottom w:val="none" w:sz="0" w:space="0" w:color="auto"/>
        <w:right w:val="none" w:sz="0" w:space="0" w:color="auto"/>
      </w:divBdr>
    </w:div>
    <w:div w:id="485517812">
      <w:bodyDiv w:val="1"/>
      <w:marLeft w:val="0"/>
      <w:marRight w:val="0"/>
      <w:marTop w:val="0"/>
      <w:marBottom w:val="0"/>
      <w:divBdr>
        <w:top w:val="none" w:sz="0" w:space="0" w:color="auto"/>
        <w:left w:val="none" w:sz="0" w:space="0" w:color="auto"/>
        <w:bottom w:val="none" w:sz="0" w:space="0" w:color="auto"/>
        <w:right w:val="none" w:sz="0" w:space="0" w:color="auto"/>
      </w:divBdr>
    </w:div>
    <w:div w:id="578371413">
      <w:bodyDiv w:val="1"/>
      <w:marLeft w:val="0"/>
      <w:marRight w:val="0"/>
      <w:marTop w:val="0"/>
      <w:marBottom w:val="0"/>
      <w:divBdr>
        <w:top w:val="none" w:sz="0" w:space="0" w:color="auto"/>
        <w:left w:val="none" w:sz="0" w:space="0" w:color="auto"/>
        <w:bottom w:val="none" w:sz="0" w:space="0" w:color="auto"/>
        <w:right w:val="none" w:sz="0" w:space="0" w:color="auto"/>
      </w:divBdr>
    </w:div>
    <w:div w:id="578756312">
      <w:bodyDiv w:val="1"/>
      <w:marLeft w:val="0"/>
      <w:marRight w:val="0"/>
      <w:marTop w:val="0"/>
      <w:marBottom w:val="0"/>
      <w:divBdr>
        <w:top w:val="none" w:sz="0" w:space="0" w:color="auto"/>
        <w:left w:val="none" w:sz="0" w:space="0" w:color="auto"/>
        <w:bottom w:val="none" w:sz="0" w:space="0" w:color="auto"/>
        <w:right w:val="none" w:sz="0" w:space="0" w:color="auto"/>
      </w:divBdr>
    </w:div>
    <w:div w:id="581064487">
      <w:bodyDiv w:val="1"/>
      <w:marLeft w:val="0"/>
      <w:marRight w:val="0"/>
      <w:marTop w:val="0"/>
      <w:marBottom w:val="0"/>
      <w:divBdr>
        <w:top w:val="none" w:sz="0" w:space="0" w:color="auto"/>
        <w:left w:val="none" w:sz="0" w:space="0" w:color="auto"/>
        <w:bottom w:val="none" w:sz="0" w:space="0" w:color="auto"/>
        <w:right w:val="none" w:sz="0" w:space="0" w:color="auto"/>
      </w:divBdr>
    </w:div>
    <w:div w:id="613902018">
      <w:bodyDiv w:val="1"/>
      <w:marLeft w:val="0"/>
      <w:marRight w:val="0"/>
      <w:marTop w:val="0"/>
      <w:marBottom w:val="0"/>
      <w:divBdr>
        <w:top w:val="none" w:sz="0" w:space="0" w:color="auto"/>
        <w:left w:val="none" w:sz="0" w:space="0" w:color="auto"/>
        <w:bottom w:val="none" w:sz="0" w:space="0" w:color="auto"/>
        <w:right w:val="none" w:sz="0" w:space="0" w:color="auto"/>
      </w:divBdr>
    </w:div>
    <w:div w:id="626014753">
      <w:bodyDiv w:val="1"/>
      <w:marLeft w:val="0"/>
      <w:marRight w:val="0"/>
      <w:marTop w:val="0"/>
      <w:marBottom w:val="0"/>
      <w:divBdr>
        <w:top w:val="none" w:sz="0" w:space="0" w:color="auto"/>
        <w:left w:val="none" w:sz="0" w:space="0" w:color="auto"/>
        <w:bottom w:val="none" w:sz="0" w:space="0" w:color="auto"/>
        <w:right w:val="none" w:sz="0" w:space="0" w:color="auto"/>
      </w:divBdr>
    </w:div>
    <w:div w:id="665087497">
      <w:bodyDiv w:val="1"/>
      <w:marLeft w:val="0"/>
      <w:marRight w:val="0"/>
      <w:marTop w:val="0"/>
      <w:marBottom w:val="0"/>
      <w:divBdr>
        <w:top w:val="none" w:sz="0" w:space="0" w:color="auto"/>
        <w:left w:val="none" w:sz="0" w:space="0" w:color="auto"/>
        <w:bottom w:val="none" w:sz="0" w:space="0" w:color="auto"/>
        <w:right w:val="none" w:sz="0" w:space="0" w:color="auto"/>
      </w:divBdr>
    </w:div>
    <w:div w:id="677195944">
      <w:bodyDiv w:val="1"/>
      <w:marLeft w:val="0"/>
      <w:marRight w:val="0"/>
      <w:marTop w:val="0"/>
      <w:marBottom w:val="0"/>
      <w:divBdr>
        <w:top w:val="none" w:sz="0" w:space="0" w:color="auto"/>
        <w:left w:val="none" w:sz="0" w:space="0" w:color="auto"/>
        <w:bottom w:val="none" w:sz="0" w:space="0" w:color="auto"/>
        <w:right w:val="none" w:sz="0" w:space="0" w:color="auto"/>
      </w:divBdr>
    </w:div>
    <w:div w:id="805468556">
      <w:bodyDiv w:val="1"/>
      <w:marLeft w:val="0"/>
      <w:marRight w:val="0"/>
      <w:marTop w:val="0"/>
      <w:marBottom w:val="0"/>
      <w:divBdr>
        <w:top w:val="none" w:sz="0" w:space="0" w:color="auto"/>
        <w:left w:val="none" w:sz="0" w:space="0" w:color="auto"/>
        <w:bottom w:val="none" w:sz="0" w:space="0" w:color="auto"/>
        <w:right w:val="none" w:sz="0" w:space="0" w:color="auto"/>
      </w:divBdr>
    </w:div>
    <w:div w:id="835654893">
      <w:bodyDiv w:val="1"/>
      <w:marLeft w:val="0"/>
      <w:marRight w:val="0"/>
      <w:marTop w:val="0"/>
      <w:marBottom w:val="0"/>
      <w:divBdr>
        <w:top w:val="none" w:sz="0" w:space="0" w:color="auto"/>
        <w:left w:val="none" w:sz="0" w:space="0" w:color="auto"/>
        <w:bottom w:val="none" w:sz="0" w:space="0" w:color="auto"/>
        <w:right w:val="none" w:sz="0" w:space="0" w:color="auto"/>
      </w:divBdr>
    </w:div>
    <w:div w:id="851988688">
      <w:bodyDiv w:val="1"/>
      <w:marLeft w:val="0"/>
      <w:marRight w:val="0"/>
      <w:marTop w:val="0"/>
      <w:marBottom w:val="0"/>
      <w:divBdr>
        <w:top w:val="none" w:sz="0" w:space="0" w:color="auto"/>
        <w:left w:val="none" w:sz="0" w:space="0" w:color="auto"/>
        <w:bottom w:val="none" w:sz="0" w:space="0" w:color="auto"/>
        <w:right w:val="none" w:sz="0" w:space="0" w:color="auto"/>
      </w:divBdr>
    </w:div>
    <w:div w:id="924998375">
      <w:bodyDiv w:val="1"/>
      <w:marLeft w:val="0"/>
      <w:marRight w:val="0"/>
      <w:marTop w:val="0"/>
      <w:marBottom w:val="0"/>
      <w:divBdr>
        <w:top w:val="none" w:sz="0" w:space="0" w:color="auto"/>
        <w:left w:val="none" w:sz="0" w:space="0" w:color="auto"/>
        <w:bottom w:val="none" w:sz="0" w:space="0" w:color="auto"/>
        <w:right w:val="none" w:sz="0" w:space="0" w:color="auto"/>
      </w:divBdr>
    </w:div>
    <w:div w:id="999456317">
      <w:bodyDiv w:val="1"/>
      <w:marLeft w:val="0"/>
      <w:marRight w:val="0"/>
      <w:marTop w:val="0"/>
      <w:marBottom w:val="0"/>
      <w:divBdr>
        <w:top w:val="none" w:sz="0" w:space="0" w:color="auto"/>
        <w:left w:val="none" w:sz="0" w:space="0" w:color="auto"/>
        <w:bottom w:val="none" w:sz="0" w:space="0" w:color="auto"/>
        <w:right w:val="none" w:sz="0" w:space="0" w:color="auto"/>
      </w:divBdr>
    </w:div>
    <w:div w:id="1024211998">
      <w:bodyDiv w:val="1"/>
      <w:marLeft w:val="0"/>
      <w:marRight w:val="0"/>
      <w:marTop w:val="0"/>
      <w:marBottom w:val="0"/>
      <w:divBdr>
        <w:top w:val="none" w:sz="0" w:space="0" w:color="auto"/>
        <w:left w:val="none" w:sz="0" w:space="0" w:color="auto"/>
        <w:bottom w:val="none" w:sz="0" w:space="0" w:color="auto"/>
        <w:right w:val="none" w:sz="0" w:space="0" w:color="auto"/>
      </w:divBdr>
    </w:div>
    <w:div w:id="1030180341">
      <w:bodyDiv w:val="1"/>
      <w:marLeft w:val="0"/>
      <w:marRight w:val="0"/>
      <w:marTop w:val="0"/>
      <w:marBottom w:val="0"/>
      <w:divBdr>
        <w:top w:val="none" w:sz="0" w:space="0" w:color="auto"/>
        <w:left w:val="none" w:sz="0" w:space="0" w:color="auto"/>
        <w:bottom w:val="none" w:sz="0" w:space="0" w:color="auto"/>
        <w:right w:val="none" w:sz="0" w:space="0" w:color="auto"/>
      </w:divBdr>
    </w:div>
    <w:div w:id="1031608725">
      <w:bodyDiv w:val="1"/>
      <w:marLeft w:val="0"/>
      <w:marRight w:val="0"/>
      <w:marTop w:val="0"/>
      <w:marBottom w:val="0"/>
      <w:divBdr>
        <w:top w:val="none" w:sz="0" w:space="0" w:color="auto"/>
        <w:left w:val="none" w:sz="0" w:space="0" w:color="auto"/>
        <w:bottom w:val="none" w:sz="0" w:space="0" w:color="auto"/>
        <w:right w:val="none" w:sz="0" w:space="0" w:color="auto"/>
      </w:divBdr>
    </w:div>
    <w:div w:id="1035697435">
      <w:bodyDiv w:val="1"/>
      <w:marLeft w:val="0"/>
      <w:marRight w:val="0"/>
      <w:marTop w:val="0"/>
      <w:marBottom w:val="0"/>
      <w:divBdr>
        <w:top w:val="none" w:sz="0" w:space="0" w:color="auto"/>
        <w:left w:val="none" w:sz="0" w:space="0" w:color="auto"/>
        <w:bottom w:val="none" w:sz="0" w:space="0" w:color="auto"/>
        <w:right w:val="none" w:sz="0" w:space="0" w:color="auto"/>
      </w:divBdr>
    </w:div>
    <w:div w:id="1053194555">
      <w:bodyDiv w:val="1"/>
      <w:marLeft w:val="0"/>
      <w:marRight w:val="0"/>
      <w:marTop w:val="0"/>
      <w:marBottom w:val="0"/>
      <w:divBdr>
        <w:top w:val="none" w:sz="0" w:space="0" w:color="auto"/>
        <w:left w:val="none" w:sz="0" w:space="0" w:color="auto"/>
        <w:bottom w:val="none" w:sz="0" w:space="0" w:color="auto"/>
        <w:right w:val="none" w:sz="0" w:space="0" w:color="auto"/>
      </w:divBdr>
    </w:div>
    <w:div w:id="1061831917">
      <w:bodyDiv w:val="1"/>
      <w:marLeft w:val="0"/>
      <w:marRight w:val="0"/>
      <w:marTop w:val="0"/>
      <w:marBottom w:val="0"/>
      <w:divBdr>
        <w:top w:val="none" w:sz="0" w:space="0" w:color="auto"/>
        <w:left w:val="none" w:sz="0" w:space="0" w:color="auto"/>
        <w:bottom w:val="none" w:sz="0" w:space="0" w:color="auto"/>
        <w:right w:val="none" w:sz="0" w:space="0" w:color="auto"/>
      </w:divBdr>
    </w:div>
    <w:div w:id="1104110040">
      <w:bodyDiv w:val="1"/>
      <w:marLeft w:val="0"/>
      <w:marRight w:val="0"/>
      <w:marTop w:val="0"/>
      <w:marBottom w:val="0"/>
      <w:divBdr>
        <w:top w:val="none" w:sz="0" w:space="0" w:color="auto"/>
        <w:left w:val="none" w:sz="0" w:space="0" w:color="auto"/>
        <w:bottom w:val="none" w:sz="0" w:space="0" w:color="auto"/>
        <w:right w:val="none" w:sz="0" w:space="0" w:color="auto"/>
      </w:divBdr>
    </w:div>
    <w:div w:id="1179585927">
      <w:bodyDiv w:val="1"/>
      <w:marLeft w:val="0"/>
      <w:marRight w:val="0"/>
      <w:marTop w:val="0"/>
      <w:marBottom w:val="0"/>
      <w:divBdr>
        <w:top w:val="none" w:sz="0" w:space="0" w:color="auto"/>
        <w:left w:val="none" w:sz="0" w:space="0" w:color="auto"/>
        <w:bottom w:val="none" w:sz="0" w:space="0" w:color="auto"/>
        <w:right w:val="none" w:sz="0" w:space="0" w:color="auto"/>
      </w:divBdr>
    </w:div>
    <w:div w:id="1194802324">
      <w:bodyDiv w:val="1"/>
      <w:marLeft w:val="0"/>
      <w:marRight w:val="0"/>
      <w:marTop w:val="0"/>
      <w:marBottom w:val="0"/>
      <w:divBdr>
        <w:top w:val="none" w:sz="0" w:space="0" w:color="auto"/>
        <w:left w:val="none" w:sz="0" w:space="0" w:color="auto"/>
        <w:bottom w:val="none" w:sz="0" w:space="0" w:color="auto"/>
        <w:right w:val="none" w:sz="0" w:space="0" w:color="auto"/>
      </w:divBdr>
    </w:div>
    <w:div w:id="1253927891">
      <w:bodyDiv w:val="1"/>
      <w:marLeft w:val="0"/>
      <w:marRight w:val="0"/>
      <w:marTop w:val="0"/>
      <w:marBottom w:val="0"/>
      <w:divBdr>
        <w:top w:val="none" w:sz="0" w:space="0" w:color="auto"/>
        <w:left w:val="none" w:sz="0" w:space="0" w:color="auto"/>
        <w:bottom w:val="none" w:sz="0" w:space="0" w:color="auto"/>
        <w:right w:val="none" w:sz="0" w:space="0" w:color="auto"/>
      </w:divBdr>
    </w:div>
    <w:div w:id="1305506796">
      <w:bodyDiv w:val="1"/>
      <w:marLeft w:val="0"/>
      <w:marRight w:val="0"/>
      <w:marTop w:val="0"/>
      <w:marBottom w:val="0"/>
      <w:divBdr>
        <w:top w:val="none" w:sz="0" w:space="0" w:color="auto"/>
        <w:left w:val="none" w:sz="0" w:space="0" w:color="auto"/>
        <w:bottom w:val="none" w:sz="0" w:space="0" w:color="auto"/>
        <w:right w:val="none" w:sz="0" w:space="0" w:color="auto"/>
      </w:divBdr>
    </w:div>
    <w:div w:id="1370255912">
      <w:bodyDiv w:val="1"/>
      <w:marLeft w:val="0"/>
      <w:marRight w:val="0"/>
      <w:marTop w:val="0"/>
      <w:marBottom w:val="0"/>
      <w:divBdr>
        <w:top w:val="none" w:sz="0" w:space="0" w:color="auto"/>
        <w:left w:val="none" w:sz="0" w:space="0" w:color="auto"/>
        <w:bottom w:val="none" w:sz="0" w:space="0" w:color="auto"/>
        <w:right w:val="none" w:sz="0" w:space="0" w:color="auto"/>
      </w:divBdr>
    </w:div>
    <w:div w:id="1456753542">
      <w:bodyDiv w:val="1"/>
      <w:marLeft w:val="0"/>
      <w:marRight w:val="0"/>
      <w:marTop w:val="0"/>
      <w:marBottom w:val="0"/>
      <w:divBdr>
        <w:top w:val="none" w:sz="0" w:space="0" w:color="auto"/>
        <w:left w:val="none" w:sz="0" w:space="0" w:color="auto"/>
        <w:bottom w:val="none" w:sz="0" w:space="0" w:color="auto"/>
        <w:right w:val="none" w:sz="0" w:space="0" w:color="auto"/>
      </w:divBdr>
    </w:div>
    <w:div w:id="1470512215">
      <w:bodyDiv w:val="1"/>
      <w:marLeft w:val="0"/>
      <w:marRight w:val="0"/>
      <w:marTop w:val="0"/>
      <w:marBottom w:val="0"/>
      <w:divBdr>
        <w:top w:val="none" w:sz="0" w:space="0" w:color="auto"/>
        <w:left w:val="none" w:sz="0" w:space="0" w:color="auto"/>
        <w:bottom w:val="none" w:sz="0" w:space="0" w:color="auto"/>
        <w:right w:val="none" w:sz="0" w:space="0" w:color="auto"/>
      </w:divBdr>
    </w:div>
    <w:div w:id="1542208114">
      <w:bodyDiv w:val="1"/>
      <w:marLeft w:val="0"/>
      <w:marRight w:val="0"/>
      <w:marTop w:val="0"/>
      <w:marBottom w:val="0"/>
      <w:divBdr>
        <w:top w:val="none" w:sz="0" w:space="0" w:color="auto"/>
        <w:left w:val="none" w:sz="0" w:space="0" w:color="auto"/>
        <w:bottom w:val="none" w:sz="0" w:space="0" w:color="auto"/>
        <w:right w:val="none" w:sz="0" w:space="0" w:color="auto"/>
      </w:divBdr>
    </w:div>
    <w:div w:id="1620795972">
      <w:bodyDiv w:val="1"/>
      <w:marLeft w:val="0"/>
      <w:marRight w:val="0"/>
      <w:marTop w:val="0"/>
      <w:marBottom w:val="0"/>
      <w:divBdr>
        <w:top w:val="none" w:sz="0" w:space="0" w:color="auto"/>
        <w:left w:val="none" w:sz="0" w:space="0" w:color="auto"/>
        <w:bottom w:val="none" w:sz="0" w:space="0" w:color="auto"/>
        <w:right w:val="none" w:sz="0" w:space="0" w:color="auto"/>
      </w:divBdr>
    </w:div>
    <w:div w:id="1622804407">
      <w:bodyDiv w:val="1"/>
      <w:marLeft w:val="0"/>
      <w:marRight w:val="0"/>
      <w:marTop w:val="0"/>
      <w:marBottom w:val="0"/>
      <w:divBdr>
        <w:top w:val="none" w:sz="0" w:space="0" w:color="auto"/>
        <w:left w:val="none" w:sz="0" w:space="0" w:color="auto"/>
        <w:bottom w:val="none" w:sz="0" w:space="0" w:color="auto"/>
        <w:right w:val="none" w:sz="0" w:space="0" w:color="auto"/>
      </w:divBdr>
    </w:div>
    <w:div w:id="1640917909">
      <w:bodyDiv w:val="1"/>
      <w:marLeft w:val="0"/>
      <w:marRight w:val="0"/>
      <w:marTop w:val="0"/>
      <w:marBottom w:val="0"/>
      <w:divBdr>
        <w:top w:val="none" w:sz="0" w:space="0" w:color="auto"/>
        <w:left w:val="none" w:sz="0" w:space="0" w:color="auto"/>
        <w:bottom w:val="none" w:sz="0" w:space="0" w:color="auto"/>
        <w:right w:val="none" w:sz="0" w:space="0" w:color="auto"/>
      </w:divBdr>
    </w:div>
    <w:div w:id="1797674241">
      <w:bodyDiv w:val="1"/>
      <w:marLeft w:val="0"/>
      <w:marRight w:val="0"/>
      <w:marTop w:val="0"/>
      <w:marBottom w:val="0"/>
      <w:divBdr>
        <w:top w:val="none" w:sz="0" w:space="0" w:color="auto"/>
        <w:left w:val="none" w:sz="0" w:space="0" w:color="auto"/>
        <w:bottom w:val="none" w:sz="0" w:space="0" w:color="auto"/>
        <w:right w:val="none" w:sz="0" w:space="0" w:color="auto"/>
      </w:divBdr>
    </w:div>
    <w:div w:id="1836190291">
      <w:bodyDiv w:val="1"/>
      <w:marLeft w:val="0"/>
      <w:marRight w:val="0"/>
      <w:marTop w:val="0"/>
      <w:marBottom w:val="0"/>
      <w:divBdr>
        <w:top w:val="none" w:sz="0" w:space="0" w:color="auto"/>
        <w:left w:val="none" w:sz="0" w:space="0" w:color="auto"/>
        <w:bottom w:val="none" w:sz="0" w:space="0" w:color="auto"/>
        <w:right w:val="none" w:sz="0" w:space="0" w:color="auto"/>
      </w:divBdr>
    </w:div>
    <w:div w:id="1839077181">
      <w:bodyDiv w:val="1"/>
      <w:marLeft w:val="0"/>
      <w:marRight w:val="0"/>
      <w:marTop w:val="0"/>
      <w:marBottom w:val="0"/>
      <w:divBdr>
        <w:top w:val="none" w:sz="0" w:space="0" w:color="auto"/>
        <w:left w:val="none" w:sz="0" w:space="0" w:color="auto"/>
        <w:bottom w:val="none" w:sz="0" w:space="0" w:color="auto"/>
        <w:right w:val="none" w:sz="0" w:space="0" w:color="auto"/>
      </w:divBdr>
    </w:div>
    <w:div w:id="1844589397">
      <w:bodyDiv w:val="1"/>
      <w:marLeft w:val="0"/>
      <w:marRight w:val="0"/>
      <w:marTop w:val="0"/>
      <w:marBottom w:val="0"/>
      <w:divBdr>
        <w:top w:val="none" w:sz="0" w:space="0" w:color="auto"/>
        <w:left w:val="none" w:sz="0" w:space="0" w:color="auto"/>
        <w:bottom w:val="none" w:sz="0" w:space="0" w:color="auto"/>
        <w:right w:val="none" w:sz="0" w:space="0" w:color="auto"/>
      </w:divBdr>
    </w:div>
    <w:div w:id="1906986275">
      <w:bodyDiv w:val="1"/>
      <w:marLeft w:val="0"/>
      <w:marRight w:val="0"/>
      <w:marTop w:val="0"/>
      <w:marBottom w:val="0"/>
      <w:divBdr>
        <w:top w:val="none" w:sz="0" w:space="0" w:color="auto"/>
        <w:left w:val="none" w:sz="0" w:space="0" w:color="auto"/>
        <w:bottom w:val="none" w:sz="0" w:space="0" w:color="auto"/>
        <w:right w:val="none" w:sz="0" w:space="0" w:color="auto"/>
      </w:divBdr>
    </w:div>
    <w:div w:id="1993017647">
      <w:bodyDiv w:val="1"/>
      <w:marLeft w:val="0"/>
      <w:marRight w:val="0"/>
      <w:marTop w:val="0"/>
      <w:marBottom w:val="0"/>
      <w:divBdr>
        <w:top w:val="none" w:sz="0" w:space="0" w:color="auto"/>
        <w:left w:val="none" w:sz="0" w:space="0" w:color="auto"/>
        <w:bottom w:val="none" w:sz="0" w:space="0" w:color="auto"/>
        <w:right w:val="none" w:sz="0" w:space="0" w:color="auto"/>
      </w:divBdr>
    </w:div>
    <w:div w:id="2038921188">
      <w:bodyDiv w:val="1"/>
      <w:marLeft w:val="0"/>
      <w:marRight w:val="0"/>
      <w:marTop w:val="0"/>
      <w:marBottom w:val="0"/>
      <w:divBdr>
        <w:top w:val="none" w:sz="0" w:space="0" w:color="auto"/>
        <w:left w:val="none" w:sz="0" w:space="0" w:color="auto"/>
        <w:bottom w:val="none" w:sz="0" w:space="0" w:color="auto"/>
        <w:right w:val="none" w:sz="0" w:space="0" w:color="auto"/>
      </w:divBdr>
    </w:div>
    <w:div w:id="2043896392">
      <w:bodyDiv w:val="1"/>
      <w:marLeft w:val="0"/>
      <w:marRight w:val="0"/>
      <w:marTop w:val="0"/>
      <w:marBottom w:val="0"/>
      <w:divBdr>
        <w:top w:val="none" w:sz="0" w:space="0" w:color="auto"/>
        <w:left w:val="none" w:sz="0" w:space="0" w:color="auto"/>
        <w:bottom w:val="none" w:sz="0" w:space="0" w:color="auto"/>
        <w:right w:val="none" w:sz="0" w:space="0" w:color="auto"/>
      </w:divBdr>
      <w:divsChild>
        <w:div w:id="356809910">
          <w:marLeft w:val="0"/>
          <w:marRight w:val="0"/>
          <w:marTop w:val="0"/>
          <w:marBottom w:val="0"/>
          <w:divBdr>
            <w:top w:val="none" w:sz="0" w:space="0" w:color="auto"/>
            <w:left w:val="none" w:sz="0" w:space="0" w:color="auto"/>
            <w:bottom w:val="none" w:sz="0" w:space="0" w:color="auto"/>
            <w:right w:val="none" w:sz="0" w:space="0" w:color="auto"/>
          </w:divBdr>
        </w:div>
        <w:div w:id="2120710055">
          <w:marLeft w:val="0"/>
          <w:marRight w:val="0"/>
          <w:marTop w:val="0"/>
          <w:marBottom w:val="0"/>
          <w:divBdr>
            <w:top w:val="none" w:sz="0" w:space="0" w:color="auto"/>
            <w:left w:val="none" w:sz="0" w:space="0" w:color="auto"/>
            <w:bottom w:val="none" w:sz="0" w:space="0" w:color="auto"/>
            <w:right w:val="none" w:sz="0" w:space="0" w:color="auto"/>
          </w:divBdr>
        </w:div>
      </w:divsChild>
    </w:div>
    <w:div w:id="2049911658">
      <w:bodyDiv w:val="1"/>
      <w:marLeft w:val="0"/>
      <w:marRight w:val="0"/>
      <w:marTop w:val="0"/>
      <w:marBottom w:val="0"/>
      <w:divBdr>
        <w:top w:val="none" w:sz="0" w:space="0" w:color="auto"/>
        <w:left w:val="none" w:sz="0" w:space="0" w:color="auto"/>
        <w:bottom w:val="none" w:sz="0" w:space="0" w:color="auto"/>
        <w:right w:val="none" w:sz="0" w:space="0" w:color="auto"/>
      </w:divBdr>
    </w:div>
    <w:div w:id="205889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files.toxplanet.com/cpdb/index.html"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arcdb.lhasalimited.org/carcdb-frontend/" TargetMode="External"/><Relationship Id="rId2" Type="http://schemas.openxmlformats.org/officeDocument/2006/relationships/customXml" Target="../customXml/item2.xml"/><Relationship Id="rId16" Type="http://schemas.openxmlformats.org/officeDocument/2006/relationships/hyperlink" Target="URL:https://toxnet.nlm.nih.gov/cpd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63534272295F43885BA43F94633AB8" ma:contentTypeVersion="12" ma:contentTypeDescription="Create a new document." ma:contentTypeScope="" ma:versionID="07f9debeb8be04667dbc0aa875c17216">
  <xsd:schema xmlns:xsd="http://www.w3.org/2001/XMLSchema" xmlns:xs="http://www.w3.org/2001/XMLSchema" xmlns:p="http://schemas.microsoft.com/office/2006/metadata/properties" xmlns:ns3="b3320cb6-a4e5-4f8b-af0b-7135e02ef2e0" xmlns:ns4="57edec16-5d55-4c8f-836b-8439e0464149" targetNamespace="http://schemas.microsoft.com/office/2006/metadata/properties" ma:root="true" ma:fieldsID="895d4ca0867f3d4ecc730a6f33f9d10b" ns3:_="" ns4:_="">
    <xsd:import namespace="b3320cb6-a4e5-4f8b-af0b-7135e02ef2e0"/>
    <xsd:import namespace="57edec16-5d55-4c8f-836b-8439e046414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20cb6-a4e5-4f8b-af0b-7135e02ef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dec16-5d55-4c8f-836b-8439e04641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82ad3a63-90ad-4a46-a3cb-757f4658e205" origin="userSelected">
  <element uid="8490d18d-1e1f-4ae2-adbe-3f6683173bee" value=""/>
  <element uid="03e9b10b-a1f9-4a88-9630-476473f62285" value=""/>
  <element uid="7349a702-6462-4442-88eb-c64cd513835c" value=""/>
</sisl>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7EB14-F715-4E5D-B782-39BD22316960}">
  <ds:schemaRefs>
    <ds:schemaRef ds:uri="http://schemas.microsoft.com/sharepoint/v3/contenttype/forms"/>
  </ds:schemaRefs>
</ds:datastoreItem>
</file>

<file path=customXml/itemProps2.xml><?xml version="1.0" encoding="utf-8"?>
<ds:datastoreItem xmlns:ds="http://schemas.openxmlformats.org/officeDocument/2006/customXml" ds:itemID="{40096746-9B70-4DB6-B24D-71B9172CE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20cb6-a4e5-4f8b-af0b-7135e02ef2e0"/>
    <ds:schemaRef ds:uri="57edec16-5d55-4c8f-836b-8439e0464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D8FD1-0D87-4767-9EFB-0D34EA17A7FC}">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B4F3FCA5-6FC5-4D5C-94F0-592598E36EB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540E14D-2F35-466B-A4EC-1F30DFE6CE7E}">
  <ds:schemaRefs>
    <ds:schemaRef ds:uri="http://schemas.microsoft.com/office/2006/metadata/longProperties"/>
  </ds:schemaRefs>
</ds:datastoreItem>
</file>

<file path=customXml/itemProps6.xml><?xml version="1.0" encoding="utf-8"?>
<ds:datastoreItem xmlns:ds="http://schemas.openxmlformats.org/officeDocument/2006/customXml" ds:itemID="{EDD5E237-737C-2D46-99F8-7A86BBCE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2882</Words>
  <Characters>16432</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Form for submission of comments</vt:lpstr>
    </vt:vector>
  </TitlesOfParts>
  <Company>European Medicines Agency</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subject/>
  <dc:creator>European Medicines Agency</dc:creator>
  <cp:keywords>*$%PUB-*$%GenBus</cp:keywords>
  <dc:description>Template developed for European Medicines Agency by Fiona Lewis and Vanessa Crookes December 2009</dc:description>
  <cp:lastModifiedBy>Microsoft Office User</cp:lastModifiedBy>
  <cp:revision>2</cp:revision>
  <cp:lastPrinted>2020-10-07T12:34:00Z</cp:lastPrinted>
  <dcterms:created xsi:type="dcterms:W3CDTF">2020-10-26T08:26:00Z</dcterms:created>
  <dcterms:modified xsi:type="dcterms:W3CDTF">2020-10-26T08:26:00Z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y fmtid="{D5CDD505-2E9C-101B-9397-08002B2CF9AE}" pid="38" name="display_urn:schemas-microsoft-com:office:office#Editor">
    <vt:lpwstr>Orr Melissa</vt:lpwstr>
  </property>
  <property fmtid="{D5CDD505-2E9C-101B-9397-08002B2CF9AE}" pid="39" name="Order">
    <vt:lpwstr>200.000000000000</vt:lpwstr>
  </property>
  <property fmtid="{D5CDD505-2E9C-101B-9397-08002B2CF9AE}" pid="40" name="xd_ProgID">
    <vt:lpwstr/>
  </property>
  <property fmtid="{D5CDD505-2E9C-101B-9397-08002B2CF9AE}" pid="41" name="display_urn:schemas-microsoft-com:office:office#Author">
    <vt:lpwstr>Orr Melissa</vt:lpwstr>
  </property>
  <property fmtid="{D5CDD505-2E9C-101B-9397-08002B2CF9AE}" pid="42" name="TemplateUrl">
    <vt:lpwstr/>
  </property>
  <property fmtid="{D5CDD505-2E9C-101B-9397-08002B2CF9AE}" pid="43" name="Organization Class - Name">
    <vt:lpwstr>HA-EMA</vt:lpwstr>
  </property>
  <property fmtid="{D5CDD505-2E9C-101B-9397-08002B2CF9AE}" pid="44" name="Keyword">
    <vt:lpwstr/>
  </property>
  <property fmtid="{D5CDD505-2E9C-101B-9397-08002B2CF9AE}" pid="45" name="IconOverlay">
    <vt:lpwstr/>
  </property>
  <property fmtid="{D5CDD505-2E9C-101B-9397-08002B2CF9AE}" pid="46" name="Descriptions">
    <vt:lpwstr/>
  </property>
  <property fmtid="{D5CDD505-2E9C-101B-9397-08002B2CF9AE}" pid="47" name="ContentTypeId">
    <vt:lpwstr>0x0101009E63534272295F43885BA43F94633AB8</vt:lpwstr>
  </property>
  <property fmtid="{D5CDD505-2E9C-101B-9397-08002B2CF9AE}" pid="48" name="docIndexRef">
    <vt:lpwstr>4bdd0313-c808-41d1-bf9f-8a453fc0ebbe</vt:lpwstr>
  </property>
  <property fmtid="{D5CDD505-2E9C-101B-9397-08002B2CF9AE}" pid="49" name="bjSaver">
    <vt:lpwstr>Tewbvb+9twuMMIJ6UXyTxwPx1vc564ri</vt:lpwstr>
  </property>
  <property fmtid="{D5CDD505-2E9C-101B-9397-08002B2CF9AE}" pid="50"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51" name="bjDocumentLabelXML-0">
    <vt:lpwstr>ames.com/2008/01/sie/internal/label"&gt;&lt;element uid="8490d18d-1e1f-4ae2-adbe-3f6683173bee" value="" /&gt;&lt;element uid="03e9b10b-a1f9-4a88-9630-476473f62285" value="" /&gt;&lt;element uid="7349a702-6462-4442-88eb-c64cd513835c" value="" /&gt;&lt;/sisl&gt;</vt:lpwstr>
  </property>
  <property fmtid="{D5CDD505-2E9C-101B-9397-08002B2CF9AE}" pid="52" name="bjDocumentSecurityLabel">
    <vt:lpwstr>Public - General Business</vt:lpwstr>
  </property>
</Properties>
</file>